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b"/>
        <w:bidiVisual/>
        <w:tblW w:w="104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gridCol w:w="1656"/>
      </w:tblGrid>
      <w:tr w:rsidR="0094424E" w:rsidTr="009A5FB3">
        <w:trPr>
          <w:gridAfter w:val="1"/>
          <w:wAfter w:w="1656" w:type="dxa"/>
          <w:jc w:val="center"/>
        </w:trPr>
        <w:tc>
          <w:tcPr>
            <w:tcW w:w="743" w:type="dxa"/>
          </w:tcPr>
          <w:p w:rsidR="0094424E" w:rsidRPr="008A59EE" w:rsidRDefault="0094424E" w:rsidP="00D44968">
            <w:pPr>
              <w:suppressLineNumbers/>
              <w:jc w:val="both"/>
              <w:rPr>
                <w:rFonts w:ascii="Arial" w:hAnsi="Arial"/>
                <w:b/>
                <w:bCs/>
                <w:sz w:val="26"/>
                <w:szCs w:val="26"/>
                <w:rtl/>
              </w:rPr>
            </w:pPr>
          </w:p>
        </w:tc>
        <w:tc>
          <w:tcPr>
            <w:tcW w:w="8077" w:type="dxa"/>
            <w:gridSpan w:val="2"/>
          </w:tcPr>
          <w:p w:rsidR="00007DE0" w:rsidRPr="008A59EE" w:rsidRDefault="00007DE0" w:rsidP="00007DE0">
            <w:pPr>
              <w:suppressLineNumbers/>
              <w:rPr>
                <w:sz w:val="26"/>
                <w:szCs w:val="26"/>
              </w:rPr>
            </w:pPr>
          </w:p>
        </w:tc>
      </w:tr>
      <w:tr w:rsidR="0094424E" w:rsidTr="009A5FB3">
        <w:trPr>
          <w:gridAfter w:val="1"/>
          <w:wAfter w:w="1656" w:type="dxa"/>
          <w:jc w:val="center"/>
        </w:trPr>
        <w:tc>
          <w:tcPr>
            <w:tcW w:w="3249" w:type="dxa"/>
            <w:gridSpan w:val="2"/>
          </w:tcPr>
          <w:p w:rsidR="00B8200F" w:rsidRDefault="00B8200F">
            <w:pPr>
              <w:suppressLineNumbers/>
              <w:rPr>
                <w:rFonts w:ascii="Arial" w:hAnsi="Arial"/>
                <w:b/>
                <w:bCs/>
                <w:noProof w:val="0"/>
                <w:sz w:val="26"/>
                <w:szCs w:val="26"/>
                <w:rtl/>
              </w:rPr>
            </w:pPr>
          </w:p>
        </w:tc>
        <w:tc>
          <w:tcPr>
            <w:tcW w:w="5571" w:type="dxa"/>
          </w:tcPr>
          <w:p w:rsidR="0094424E" w:rsidRDefault="0094424E" w:rsidP="00FE09EC">
            <w:pPr>
              <w:suppressLineNumbers/>
              <w:rPr>
                <w:b/>
                <w:bCs/>
                <w:noProof w:val="0"/>
                <w:sz w:val="26"/>
                <w:szCs w:val="26"/>
              </w:rPr>
            </w:pPr>
          </w:p>
        </w:tc>
      </w:tr>
      <w:tr w:rsidR="0094424E" w:rsidTr="009A5FB3">
        <w:trPr>
          <w:gridAfter w:val="1"/>
          <w:wAfter w:w="1656" w:type="dxa"/>
          <w:jc w:val="center"/>
        </w:trPr>
        <w:tc>
          <w:tcPr>
            <w:tcW w:w="8820" w:type="dxa"/>
            <w:gridSpan w:val="3"/>
          </w:tcPr>
          <w:p w:rsidR="0094424E" w:rsidRDefault="0094424E" w:rsidP="00D44968">
            <w:pPr>
              <w:suppressLineNumbers/>
              <w:rPr>
                <w:rFonts w:ascii="Arial" w:hAnsi="Arial"/>
                <w:b/>
                <w:bCs/>
                <w:noProof w:val="0"/>
                <w:sz w:val="26"/>
                <w:szCs w:val="26"/>
              </w:rPr>
            </w:pPr>
          </w:p>
        </w:tc>
      </w:tr>
      <w:tr w:rsidR="0094424E" w:rsidTr="009A5FB3">
        <w:trPr>
          <w:gridAfter w:val="1"/>
          <w:wAfter w:w="1656" w:type="dxa"/>
          <w:jc w:val="center"/>
        </w:trPr>
        <w:tc>
          <w:tcPr>
            <w:tcW w:w="3249" w:type="dxa"/>
            <w:gridSpan w:val="2"/>
          </w:tcPr>
          <w:p w:rsidR="0094424E" w:rsidRDefault="0094424E" w:rsidP="00D44968">
            <w:pPr>
              <w:suppressLineNumbers/>
              <w:rPr>
                <w:rFonts w:ascii="Arial" w:hAnsi="Arial"/>
                <w:b/>
                <w:bCs/>
                <w:noProof w:val="0"/>
                <w:sz w:val="26"/>
                <w:szCs w:val="26"/>
              </w:rPr>
            </w:pPr>
          </w:p>
        </w:tc>
        <w:tc>
          <w:tcPr>
            <w:tcW w:w="5571" w:type="dxa"/>
          </w:tcPr>
          <w:p w:rsidR="00CF6BB7" w:rsidRPr="00CD516B" w:rsidRDefault="00CF6BB7" w:rsidP="00FE09EC">
            <w:pPr>
              <w:suppressLineNumbers/>
              <w:rPr>
                <w:rFonts w:ascii="Arial" w:hAnsi="Arial"/>
                <w:b/>
                <w:bCs/>
                <w:noProof w:val="0"/>
                <w:sz w:val="26"/>
                <w:szCs w:val="26"/>
                <w:rtl/>
              </w:rPr>
            </w:pPr>
          </w:p>
        </w:tc>
      </w:tr>
      <w:tr w:rsidR="00CF6BB7" w:rsidTr="009A5FB3">
        <w:trPr>
          <w:gridAfter w:val="1"/>
          <w:wAfter w:w="1656" w:type="dxa"/>
          <w:jc w:val="center"/>
        </w:trPr>
        <w:tc>
          <w:tcPr>
            <w:tcW w:w="8820" w:type="dxa"/>
            <w:gridSpan w:val="3"/>
          </w:tcPr>
          <w:p w:rsidR="00CF6BB7" w:rsidRDefault="00CF6BB7" w:rsidP="00D44968">
            <w:pPr>
              <w:suppressLineNumbers/>
              <w:rPr>
                <w:rtl/>
              </w:rPr>
            </w:pPr>
          </w:p>
        </w:tc>
      </w:tr>
      <w:tr w:rsidR="00CF6BB7" w:rsidTr="009A5FB3">
        <w:trPr>
          <w:gridAfter w:val="1"/>
          <w:wAfter w:w="1656" w:type="dxa"/>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B66717" w:rsidRPr="00B62AD7" w:rsidRDefault="00B66717" w:rsidP="00B66717">
            <w:pPr>
              <w:rPr>
                <w:b/>
                <w:bCs/>
                <w:sz w:val="26"/>
                <w:szCs w:val="26"/>
              </w:rPr>
            </w:pPr>
          </w:p>
        </w:tc>
      </w:tr>
      <w:tr w:rsidR="004C17EE" w:rsidTr="009A5FB3">
        <w:trPr>
          <w:gridAfter w:val="1"/>
          <w:wAfter w:w="1656" w:type="dxa"/>
          <w:jc w:val="center"/>
        </w:trPr>
        <w:tc>
          <w:tcPr>
            <w:tcW w:w="8820" w:type="dxa"/>
            <w:gridSpan w:val="3"/>
          </w:tcPr>
          <w:p w:rsidR="00B8200F" w:rsidRDefault="00B8200F">
            <w:pPr>
              <w:suppressLineNumbers/>
              <w:rPr>
                <w:rFonts w:ascii="Arial" w:hAnsi="Arial"/>
                <w:b/>
                <w:bCs/>
                <w:noProof w:val="0"/>
                <w:sz w:val="26"/>
                <w:szCs w:val="26"/>
                <w:rtl/>
              </w:rPr>
            </w:pPr>
          </w:p>
        </w:tc>
      </w:tr>
      <w:tr w:rsidR="00694556" w:rsidRPr="00DE1E7D" w:rsidTr="009A5FB3">
        <w:trPr>
          <w:jc w:val="center"/>
        </w:trPr>
        <w:tc>
          <w:tcPr>
            <w:tcW w:w="10476" w:type="dxa"/>
            <w:gridSpan w:val="4"/>
          </w:tcPr>
          <w:tbl>
            <w:tblPr>
              <w:tblStyle w:val="ab"/>
              <w:bidiVisual/>
              <w:tblW w:w="8820" w:type="dxa"/>
              <w:jc w:val="center"/>
              <w:tblLook w:val="01E0" w:firstRow="1" w:lastRow="1" w:firstColumn="1" w:lastColumn="1" w:noHBand="0" w:noVBand="0"/>
            </w:tblPr>
            <w:tblGrid>
              <w:gridCol w:w="923"/>
              <w:gridCol w:w="3219"/>
              <w:gridCol w:w="4678"/>
            </w:tblGrid>
            <w:tr w:rsidR="009A5FB3" w:rsidTr="009A5FB3">
              <w:trPr>
                <w:trHeight w:val="295"/>
                <w:jc w:val="center"/>
              </w:trPr>
              <w:tc>
                <w:tcPr>
                  <w:tcW w:w="923" w:type="dxa"/>
                  <w:tcBorders>
                    <w:top w:val="nil"/>
                    <w:left w:val="nil"/>
                    <w:bottom w:val="nil"/>
                    <w:right w:val="nil"/>
                  </w:tcBorders>
                  <w:hideMark/>
                </w:tcPr>
                <w:p w:rsidR="009A5FB3" w:rsidRDefault="009A5FB3" w:rsidP="009A5FB3">
                  <w:pPr>
                    <w:jc w:val="both"/>
                    <w:rPr>
                      <w:rFonts w:ascii="David" w:hAnsi="David"/>
                      <w:sz w:val="26"/>
                      <w:szCs w:val="26"/>
                    </w:rPr>
                  </w:pPr>
                  <w:r>
                    <w:rPr>
                      <w:rFonts w:ascii="David" w:hAnsi="David"/>
                      <w:sz w:val="26"/>
                      <w:szCs w:val="26"/>
                      <w:rtl/>
                    </w:rPr>
                    <w:t xml:space="preserve">לפני </w:t>
                  </w:r>
                </w:p>
              </w:tc>
              <w:tc>
                <w:tcPr>
                  <w:tcW w:w="7897" w:type="dxa"/>
                  <w:gridSpan w:val="2"/>
                  <w:tcBorders>
                    <w:top w:val="nil"/>
                    <w:left w:val="nil"/>
                    <w:bottom w:val="nil"/>
                    <w:right w:val="nil"/>
                  </w:tcBorders>
                </w:tcPr>
                <w:p w:rsidR="009A5FB3" w:rsidRDefault="009A5FB3" w:rsidP="009A5FB3">
                  <w:pPr>
                    <w:jc w:val="both"/>
                    <w:rPr>
                      <w:rFonts w:ascii="David" w:hAnsi="David"/>
                      <w:sz w:val="26"/>
                      <w:szCs w:val="26"/>
                    </w:rPr>
                  </w:pPr>
                </w:p>
                <w:p w:rsidR="009A5FB3" w:rsidRDefault="009A5FB3" w:rsidP="009A5FB3">
                  <w:pPr>
                    <w:rPr>
                      <w:rFonts w:ascii="David" w:hAnsi="David"/>
                      <w:b/>
                      <w:bCs/>
                      <w:sz w:val="26"/>
                      <w:szCs w:val="26"/>
                    </w:rPr>
                  </w:pPr>
                  <w:r>
                    <w:rPr>
                      <w:rFonts w:ascii="David" w:hAnsi="David"/>
                      <w:b/>
                      <w:bCs/>
                      <w:sz w:val="26"/>
                      <w:szCs w:val="26"/>
                      <w:rtl/>
                    </w:rPr>
                    <w:t>כבוד ה</w:t>
                  </w:r>
                  <w:sdt>
                    <w:sdtPr>
                      <w:rPr>
                        <w:rFonts w:ascii="David" w:hAnsi="David"/>
                        <w:b/>
                        <w:bCs/>
                        <w:sz w:val="26"/>
                        <w:szCs w:val="26"/>
                        <w:rtl/>
                      </w:rPr>
                      <w:alias w:val="1574"/>
                      <w:tag w:val="1574"/>
                      <w:id w:val="-1615122647"/>
                      <w:text w:multiLine="1"/>
                    </w:sdtPr>
                    <w:sdtEndPr/>
                    <w:sdtContent>
                      <w:r>
                        <w:rPr>
                          <w:rFonts w:ascii="David" w:hAnsi="David"/>
                          <w:b/>
                          <w:bCs/>
                          <w:sz w:val="26"/>
                          <w:szCs w:val="26"/>
                          <w:rtl/>
                        </w:rPr>
                        <w:t>שופט, סגן הנשיאה</w:t>
                      </w:r>
                    </w:sdtContent>
                  </w:sdt>
                  <w:r>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Pr>
                          <w:rFonts w:ascii="David" w:hAnsi="David"/>
                          <w:b/>
                          <w:bCs/>
                          <w:sz w:val="26"/>
                          <w:szCs w:val="26"/>
                          <w:rtl/>
                        </w:rPr>
                        <w:t>עמי קובו – אב"ד</w:t>
                      </w:r>
                    </w:sdtContent>
                  </w:sdt>
                </w:p>
                <w:p w:rsidR="009A5FB3" w:rsidRDefault="009A5FB3" w:rsidP="009A5FB3">
                  <w:pPr>
                    <w:rPr>
                      <w:rFonts w:ascii="David" w:hAnsi="David"/>
                      <w:b/>
                      <w:bCs/>
                      <w:sz w:val="26"/>
                      <w:szCs w:val="26"/>
                      <w:rtl/>
                    </w:rPr>
                  </w:pPr>
                  <w:r>
                    <w:rPr>
                      <w:rFonts w:ascii="David" w:hAnsi="David"/>
                      <w:b/>
                      <w:bCs/>
                      <w:sz w:val="26"/>
                      <w:szCs w:val="26"/>
                      <w:rtl/>
                    </w:rPr>
                    <w:t>כבוד ה</w:t>
                  </w:r>
                  <w:sdt>
                    <w:sdtPr>
                      <w:rPr>
                        <w:rFonts w:ascii="David" w:hAnsi="David"/>
                        <w:b/>
                        <w:bCs/>
                        <w:sz w:val="26"/>
                        <w:szCs w:val="26"/>
                        <w:rtl/>
                      </w:rPr>
                      <w:alias w:val="1574"/>
                      <w:tag w:val="1574"/>
                      <w:id w:val="1208229431"/>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b/>
                        <w:bCs/>
                        <w:sz w:val="26"/>
                        <w:szCs w:val="26"/>
                        <w:rtl/>
                      </w:rPr>
                      <w:alias w:val="1573"/>
                      <w:tag w:val="1573"/>
                      <w:id w:val="1940336606"/>
                      <w:text w:multiLine="1"/>
                    </w:sdtPr>
                    <w:sdtEndPr/>
                    <w:sdtContent>
                      <w:r>
                        <w:rPr>
                          <w:rFonts w:ascii="David" w:hAnsi="David"/>
                          <w:b/>
                          <w:bCs/>
                          <w:sz w:val="26"/>
                          <w:szCs w:val="26"/>
                          <w:rtl/>
                        </w:rPr>
                        <w:t>מיכאל קרשן</w:t>
                      </w:r>
                    </w:sdtContent>
                  </w:sdt>
                </w:p>
                <w:p w:rsidR="009A5FB3" w:rsidRDefault="009A5FB3" w:rsidP="009A5FB3">
                  <w:pPr>
                    <w:rPr>
                      <w:rFonts w:ascii="David" w:hAnsi="David"/>
                      <w:b/>
                      <w:bCs/>
                      <w:sz w:val="26"/>
                      <w:szCs w:val="26"/>
                      <w:rtl/>
                    </w:rPr>
                  </w:pPr>
                  <w:r>
                    <w:rPr>
                      <w:rFonts w:ascii="David" w:hAnsi="David"/>
                      <w:b/>
                      <w:bCs/>
                      <w:sz w:val="26"/>
                      <w:szCs w:val="26"/>
                      <w:rtl/>
                    </w:rPr>
                    <w:t>כבוד ה</w:t>
                  </w:r>
                  <w:sdt>
                    <w:sdtPr>
                      <w:rPr>
                        <w:rFonts w:ascii="David" w:hAnsi="David"/>
                        <w:b/>
                        <w:bCs/>
                        <w:sz w:val="26"/>
                        <w:szCs w:val="26"/>
                        <w:rtl/>
                      </w:rPr>
                      <w:alias w:val="1574"/>
                      <w:tag w:val="1574"/>
                      <w:id w:val="1476416397"/>
                      <w:text w:multiLine="1"/>
                    </w:sdtPr>
                    <w:sdtEndPr/>
                    <w:sdtContent>
                      <w:r>
                        <w:rPr>
                          <w:rFonts w:ascii="David" w:hAnsi="David"/>
                          <w:b/>
                          <w:bCs/>
                          <w:sz w:val="26"/>
                          <w:szCs w:val="26"/>
                          <w:rtl/>
                        </w:rPr>
                        <w:t>שופטת</w:t>
                      </w:r>
                    </w:sdtContent>
                  </w:sdt>
                  <w:r>
                    <w:rPr>
                      <w:rFonts w:ascii="David" w:hAnsi="David"/>
                      <w:b/>
                      <w:bCs/>
                      <w:sz w:val="26"/>
                      <w:szCs w:val="26"/>
                      <w:rtl/>
                    </w:rPr>
                    <w:t xml:space="preserve">  </w:t>
                  </w:r>
                  <w:sdt>
                    <w:sdtPr>
                      <w:rPr>
                        <w:rFonts w:ascii="David" w:hAnsi="David"/>
                        <w:b/>
                        <w:bCs/>
                        <w:sz w:val="26"/>
                        <w:szCs w:val="26"/>
                        <w:rtl/>
                      </w:rPr>
                      <w:alias w:val="1573"/>
                      <w:tag w:val="1573"/>
                      <w:id w:val="-1440986020"/>
                      <w:text w:multiLine="1"/>
                    </w:sdtPr>
                    <w:sdtEndPr/>
                    <w:sdtContent>
                      <w:r>
                        <w:rPr>
                          <w:rFonts w:ascii="David" w:hAnsi="David"/>
                          <w:b/>
                          <w:bCs/>
                          <w:sz w:val="26"/>
                          <w:szCs w:val="26"/>
                          <w:rtl/>
                        </w:rPr>
                        <w:t>מרב גרינברג</w:t>
                      </w:r>
                    </w:sdtContent>
                  </w:sdt>
                </w:p>
                <w:p w:rsidR="009A5FB3" w:rsidRDefault="009A5FB3" w:rsidP="009A5FB3">
                  <w:pPr>
                    <w:rPr>
                      <w:rFonts w:ascii="David" w:hAnsi="David"/>
                      <w:sz w:val="26"/>
                      <w:szCs w:val="26"/>
                      <w:rtl/>
                    </w:rPr>
                  </w:pPr>
                </w:p>
              </w:tc>
            </w:tr>
            <w:tr w:rsidR="009A5FB3" w:rsidTr="009A5FB3">
              <w:trPr>
                <w:trHeight w:val="355"/>
                <w:jc w:val="center"/>
              </w:trPr>
              <w:tc>
                <w:tcPr>
                  <w:tcW w:w="923" w:type="dxa"/>
                  <w:tcBorders>
                    <w:top w:val="nil"/>
                    <w:left w:val="nil"/>
                    <w:bottom w:val="nil"/>
                    <w:right w:val="nil"/>
                  </w:tcBorders>
                  <w:hideMark/>
                </w:tcPr>
                <w:p w:rsidR="009A5FB3" w:rsidRDefault="009A5FB3" w:rsidP="009A5FB3">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9A5FB3" w:rsidRDefault="009A5FB3" w:rsidP="009A5FB3">
                  <w:pPr>
                    <w:suppressLineNumbers/>
                  </w:pPr>
                  <w:r>
                    <w:rPr>
                      <w:rFonts w:ascii="Arial" w:hAnsi="Arial"/>
                      <w:b/>
                      <w:bCs/>
                      <w:sz w:val="26"/>
                      <w:szCs w:val="26"/>
                      <w:rtl/>
                    </w:rPr>
                    <w:t>ה</w:t>
                  </w:r>
                  <w:sdt>
                    <w:sdtPr>
                      <w:rPr>
                        <w:rtl/>
                      </w:rPr>
                      <w:alias w:val="1180"/>
                      <w:tag w:val="1180"/>
                      <w:id w:val="-1776547762"/>
                      <w:text w:multiLine="1"/>
                    </w:sdtPr>
                    <w:sdtEndPr/>
                    <w:sdtContent>
                      <w:r>
                        <w:rPr>
                          <w:rFonts w:ascii="Arial" w:hAnsi="Arial"/>
                          <w:b/>
                          <w:bCs/>
                          <w:sz w:val="26"/>
                          <w:szCs w:val="26"/>
                          <w:rtl/>
                        </w:rPr>
                        <w:t>מאשימה</w:t>
                      </w:r>
                    </w:sdtContent>
                  </w:sdt>
                </w:p>
                <w:p w:rsidR="009A5FB3" w:rsidRDefault="009A5FB3" w:rsidP="009A5FB3">
                  <w:pPr>
                    <w:rPr>
                      <w:rFonts w:ascii="David" w:hAnsi="David"/>
                      <w:sz w:val="26"/>
                      <w:szCs w:val="26"/>
                    </w:rPr>
                  </w:pPr>
                </w:p>
              </w:tc>
              <w:tc>
                <w:tcPr>
                  <w:tcW w:w="4678" w:type="dxa"/>
                  <w:tcBorders>
                    <w:top w:val="nil"/>
                    <w:left w:val="nil"/>
                    <w:bottom w:val="nil"/>
                    <w:right w:val="nil"/>
                  </w:tcBorders>
                  <w:vAlign w:val="center"/>
                </w:tcPr>
                <w:p w:rsidR="009A5FB3" w:rsidRDefault="006B6733" w:rsidP="009A5FB3">
                  <w:pPr>
                    <w:suppressLineNumbers/>
                  </w:pPr>
                  <w:sdt>
                    <w:sdtPr>
                      <w:rPr>
                        <w:rFonts w:ascii="Arial" w:hAnsi="Arial"/>
                        <w:b/>
                        <w:bCs/>
                        <w:sz w:val="26"/>
                        <w:szCs w:val="26"/>
                        <w:rtl/>
                      </w:rPr>
                      <w:alias w:val="3151"/>
                      <w:tag w:val="3151"/>
                      <w:id w:val="-657305084"/>
                      <w:placeholder>
                        <w:docPart w:val="F0D1B1B8CDB6405FA2CA1B7689CEC57E"/>
                      </w:placeholder>
                      <w:text w:multiLine="1"/>
                    </w:sdtPr>
                    <w:sdtEndPr/>
                    <w:sdtContent>
                      <w:r w:rsidR="009A5FB3">
                        <w:rPr>
                          <w:rFonts w:ascii="Arial" w:hAnsi="Arial"/>
                          <w:b/>
                          <w:bCs/>
                          <w:sz w:val="26"/>
                          <w:szCs w:val="26"/>
                          <w:rtl/>
                        </w:rPr>
                        <w:t>מדינת ישראל</w:t>
                      </w:r>
                    </w:sdtContent>
                  </w:sdt>
                  <w:r w:rsidR="009A5FB3">
                    <w:rPr>
                      <w:rFonts w:ascii="Arial" w:hAnsi="Arial"/>
                      <w:b/>
                      <w:bCs/>
                      <w:sz w:val="26"/>
                      <w:szCs w:val="26"/>
                      <w:rtl/>
                    </w:rPr>
                    <w:t xml:space="preserve"> </w:t>
                  </w:r>
                </w:p>
                <w:p w:rsidR="009A5FB3" w:rsidRDefault="009A5FB3" w:rsidP="009A5FB3">
                  <w:pPr>
                    <w:suppressLineNumbers/>
                    <w:rPr>
                      <w:rtl/>
                    </w:rPr>
                  </w:pPr>
                  <w:r>
                    <w:rPr>
                      <w:rtl/>
                    </w:rPr>
                    <w:t>באמצעות פרקליטות מחוז מרכז</w:t>
                  </w:r>
                </w:p>
                <w:p w:rsidR="009A5FB3" w:rsidRDefault="009A5FB3" w:rsidP="009A5FB3">
                  <w:pPr>
                    <w:suppressLineNumbers/>
                    <w:rPr>
                      <w:rtl/>
                    </w:rPr>
                  </w:pPr>
                  <w:r>
                    <w:rPr>
                      <w:rtl/>
                    </w:rPr>
                    <w:t>ע"י עו"ד שמעון לוי</w:t>
                  </w:r>
                </w:p>
                <w:p w:rsidR="009A5FB3" w:rsidRDefault="009A5FB3" w:rsidP="009A5FB3">
                  <w:pPr>
                    <w:rPr>
                      <w:rFonts w:ascii="David" w:hAnsi="David"/>
                      <w:sz w:val="26"/>
                      <w:szCs w:val="26"/>
                    </w:rPr>
                  </w:pPr>
                </w:p>
              </w:tc>
            </w:tr>
            <w:tr w:rsidR="009A5FB3" w:rsidTr="009A5FB3">
              <w:trPr>
                <w:trHeight w:val="355"/>
                <w:jc w:val="center"/>
              </w:trPr>
              <w:tc>
                <w:tcPr>
                  <w:tcW w:w="923" w:type="dxa"/>
                  <w:tcBorders>
                    <w:top w:val="nil"/>
                    <w:left w:val="nil"/>
                    <w:bottom w:val="nil"/>
                    <w:right w:val="nil"/>
                  </w:tcBorders>
                </w:tcPr>
                <w:p w:rsidR="009A5FB3" w:rsidRDefault="009A5FB3" w:rsidP="009A5FB3">
                  <w:pPr>
                    <w:jc w:val="both"/>
                    <w:rPr>
                      <w:rFonts w:ascii="David" w:hAnsi="David"/>
                      <w:sz w:val="26"/>
                      <w:szCs w:val="26"/>
                    </w:rPr>
                  </w:pPr>
                </w:p>
              </w:tc>
              <w:tc>
                <w:tcPr>
                  <w:tcW w:w="7897" w:type="dxa"/>
                  <w:gridSpan w:val="2"/>
                  <w:tcBorders>
                    <w:top w:val="nil"/>
                    <w:left w:val="nil"/>
                    <w:bottom w:val="nil"/>
                    <w:right w:val="nil"/>
                  </w:tcBorders>
                </w:tcPr>
                <w:p w:rsidR="009A5FB3" w:rsidRDefault="009A5FB3" w:rsidP="009A5FB3">
                  <w:pPr>
                    <w:jc w:val="center"/>
                    <w:rPr>
                      <w:rFonts w:ascii="David" w:hAnsi="David"/>
                      <w:b/>
                      <w:bCs/>
                      <w:sz w:val="26"/>
                      <w:szCs w:val="26"/>
                      <w:rtl/>
                    </w:rPr>
                  </w:pPr>
                </w:p>
                <w:p w:rsidR="009A5FB3" w:rsidRDefault="009A5FB3" w:rsidP="009A5FB3">
                  <w:pPr>
                    <w:jc w:val="center"/>
                    <w:rPr>
                      <w:rFonts w:ascii="David" w:hAnsi="David"/>
                      <w:b/>
                      <w:bCs/>
                      <w:sz w:val="26"/>
                      <w:szCs w:val="26"/>
                      <w:rtl/>
                    </w:rPr>
                  </w:pPr>
                  <w:r>
                    <w:rPr>
                      <w:rFonts w:ascii="David" w:hAnsi="David"/>
                      <w:b/>
                      <w:bCs/>
                      <w:sz w:val="26"/>
                      <w:szCs w:val="26"/>
                      <w:rtl/>
                    </w:rPr>
                    <w:t>נגד</w:t>
                  </w:r>
                </w:p>
                <w:p w:rsidR="009A5FB3" w:rsidRDefault="009A5FB3" w:rsidP="009A5FB3">
                  <w:pPr>
                    <w:jc w:val="both"/>
                    <w:rPr>
                      <w:rFonts w:ascii="David" w:hAnsi="David"/>
                      <w:sz w:val="26"/>
                      <w:szCs w:val="26"/>
                      <w:rtl/>
                    </w:rPr>
                  </w:pPr>
                </w:p>
              </w:tc>
            </w:tr>
            <w:tr w:rsidR="009A5FB3" w:rsidTr="009A5FB3">
              <w:trPr>
                <w:trHeight w:val="355"/>
                <w:jc w:val="center"/>
              </w:trPr>
              <w:tc>
                <w:tcPr>
                  <w:tcW w:w="923" w:type="dxa"/>
                  <w:tcBorders>
                    <w:top w:val="nil"/>
                    <w:left w:val="nil"/>
                    <w:bottom w:val="nil"/>
                    <w:right w:val="nil"/>
                  </w:tcBorders>
                </w:tcPr>
                <w:p w:rsidR="009A5FB3" w:rsidRDefault="009A5FB3" w:rsidP="009A5FB3">
                  <w:pPr>
                    <w:rPr>
                      <w:rFonts w:ascii="David" w:hAnsi="David"/>
                      <w:sz w:val="26"/>
                      <w:szCs w:val="26"/>
                    </w:rPr>
                  </w:pPr>
                </w:p>
              </w:tc>
              <w:tc>
                <w:tcPr>
                  <w:tcW w:w="3219" w:type="dxa"/>
                  <w:tcBorders>
                    <w:top w:val="nil"/>
                    <w:left w:val="nil"/>
                    <w:bottom w:val="nil"/>
                    <w:right w:val="nil"/>
                  </w:tcBorders>
                  <w:hideMark/>
                </w:tcPr>
                <w:p w:rsidR="009A5FB3" w:rsidRDefault="009A5FB3" w:rsidP="009A5FB3">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hideMark/>
                </w:tcPr>
                <w:p w:rsidR="009A5FB3" w:rsidRDefault="006B6733" w:rsidP="009A5FB3">
                  <w:pPr>
                    <w:suppressLineNumbers/>
                    <w:rPr>
                      <w:rFonts w:ascii="David" w:hAnsi="David"/>
                      <w:sz w:val="26"/>
                      <w:szCs w:val="26"/>
                      <w:rtl/>
                    </w:rPr>
                  </w:pPr>
                  <w:sdt>
                    <w:sdtPr>
                      <w:rPr>
                        <w:rFonts w:ascii="Arial" w:hAnsi="Arial"/>
                        <w:b/>
                        <w:bCs/>
                        <w:sz w:val="26"/>
                        <w:szCs w:val="26"/>
                        <w:rtl/>
                      </w:rPr>
                      <w:alias w:val="3152"/>
                      <w:tag w:val="3152"/>
                      <w:id w:val="-1031805195"/>
                      <w:placeholder>
                        <w:docPart w:val="13682CB4E0334265BAC5C002EFE7FE54"/>
                      </w:placeholder>
                      <w:text w:multiLine="1"/>
                    </w:sdtPr>
                    <w:sdtEndPr/>
                    <w:sdtContent>
                      <w:r w:rsidR="009A5FB3">
                        <w:rPr>
                          <w:rFonts w:ascii="Arial" w:hAnsi="Arial" w:hint="cs"/>
                          <w:b/>
                          <w:bCs/>
                          <w:sz w:val="26"/>
                          <w:szCs w:val="26"/>
                          <w:rtl/>
                        </w:rPr>
                        <w:t>פלוני</w:t>
                      </w:r>
                      <w:r w:rsidR="009A5FB3">
                        <w:rPr>
                          <w:rFonts w:ascii="Arial" w:hAnsi="Arial"/>
                          <w:b/>
                          <w:bCs/>
                          <w:sz w:val="26"/>
                          <w:szCs w:val="26"/>
                          <w:rtl/>
                        </w:rPr>
                        <w:t xml:space="preserve"> </w:t>
                      </w:r>
                    </w:sdtContent>
                  </w:sdt>
                  <w:r w:rsidR="009A5FB3">
                    <w:rPr>
                      <w:rFonts w:ascii="Arial" w:hAnsi="Arial"/>
                      <w:b/>
                      <w:bCs/>
                      <w:sz w:val="26"/>
                      <w:szCs w:val="26"/>
                      <w:rtl/>
                    </w:rPr>
                    <w:t xml:space="preserve"> </w:t>
                  </w:r>
                </w:p>
                <w:p w:rsidR="009A5FB3" w:rsidRDefault="009A5FB3" w:rsidP="009A5FB3">
                  <w:pPr>
                    <w:suppressLineNumbers/>
                    <w:rPr>
                      <w:rFonts w:ascii="David" w:hAnsi="David"/>
                      <w:rtl/>
                    </w:rPr>
                  </w:pPr>
                  <w:r>
                    <w:rPr>
                      <w:rFonts w:ascii="David" w:hAnsi="David"/>
                      <w:rtl/>
                    </w:rPr>
                    <w:t>ע"י עו"ד אביעד לנצ'נר</w:t>
                  </w:r>
                </w:p>
              </w:tc>
            </w:tr>
            <w:tr w:rsidR="009A5FB3" w:rsidTr="009A5FB3">
              <w:trPr>
                <w:trHeight w:val="355"/>
                <w:jc w:val="center"/>
              </w:trPr>
              <w:tc>
                <w:tcPr>
                  <w:tcW w:w="923" w:type="dxa"/>
                  <w:tcBorders>
                    <w:top w:val="nil"/>
                    <w:left w:val="nil"/>
                    <w:bottom w:val="nil"/>
                    <w:right w:val="nil"/>
                  </w:tcBorders>
                </w:tcPr>
                <w:p w:rsidR="009A5FB3" w:rsidRDefault="009A5FB3" w:rsidP="009A5FB3">
                  <w:pPr>
                    <w:jc w:val="both"/>
                    <w:rPr>
                      <w:rFonts w:ascii="David" w:hAnsi="David"/>
                      <w:sz w:val="26"/>
                      <w:szCs w:val="26"/>
                    </w:rPr>
                  </w:pPr>
                </w:p>
              </w:tc>
              <w:tc>
                <w:tcPr>
                  <w:tcW w:w="3219" w:type="dxa"/>
                  <w:tcBorders>
                    <w:top w:val="nil"/>
                    <w:left w:val="nil"/>
                    <w:bottom w:val="nil"/>
                    <w:right w:val="nil"/>
                  </w:tcBorders>
                </w:tcPr>
                <w:p w:rsidR="009A5FB3" w:rsidRDefault="009A5FB3" w:rsidP="009A5FB3">
                  <w:pPr>
                    <w:jc w:val="both"/>
                    <w:rPr>
                      <w:rFonts w:ascii="David" w:hAnsi="David"/>
                      <w:sz w:val="26"/>
                      <w:szCs w:val="26"/>
                      <w:rtl/>
                    </w:rPr>
                  </w:pPr>
                </w:p>
              </w:tc>
              <w:tc>
                <w:tcPr>
                  <w:tcW w:w="4678" w:type="dxa"/>
                  <w:tcBorders>
                    <w:top w:val="nil"/>
                    <w:left w:val="nil"/>
                    <w:bottom w:val="nil"/>
                    <w:right w:val="nil"/>
                  </w:tcBorders>
                </w:tcPr>
                <w:p w:rsidR="009A5FB3" w:rsidRDefault="009A5FB3" w:rsidP="009A5FB3">
                  <w:pPr>
                    <w:jc w:val="right"/>
                    <w:rPr>
                      <w:rFonts w:ascii="David" w:hAnsi="David"/>
                      <w:sz w:val="26"/>
                      <w:szCs w:val="26"/>
                      <w:rtl/>
                    </w:rPr>
                  </w:pPr>
                </w:p>
              </w:tc>
            </w:tr>
          </w:tbl>
          <w:p w:rsidR="009A5FB3" w:rsidRDefault="009A5FB3" w:rsidP="009A5FB3">
            <w:pPr>
              <w:jc w:val="center"/>
              <w:rPr>
                <w:u w:val="single"/>
                <w:rtl/>
              </w:rPr>
            </w:pPr>
            <w:r>
              <w:rPr>
                <w:rFonts w:hint="cs"/>
                <w:u w:val="single"/>
                <w:rtl/>
              </w:rPr>
              <w:t>נוסח זה של גזר הדין מותר בפרסום</w:t>
            </w:r>
          </w:p>
          <w:p w:rsidR="00B21EAA" w:rsidRPr="009A5FB3" w:rsidRDefault="00B21EAA" w:rsidP="009A5FB3">
            <w:pPr>
              <w:jc w:val="center"/>
              <w:rPr>
                <w:u w:val="single"/>
              </w:rPr>
            </w:pPr>
          </w:p>
          <w:tbl>
            <w:tblPr>
              <w:tblStyle w:val="ab"/>
              <w:bidiVisual/>
              <w:tblW w:w="8820" w:type="dxa"/>
              <w:jc w:val="center"/>
              <w:tblLook w:val="01E0" w:firstRow="1" w:lastRow="1" w:firstColumn="1" w:lastColumn="1" w:noHBand="0" w:noVBand="0"/>
            </w:tblPr>
            <w:tblGrid>
              <w:gridCol w:w="8820"/>
            </w:tblGrid>
            <w:tr w:rsidR="009A5FB3" w:rsidTr="009A5FB3">
              <w:trPr>
                <w:trHeight w:val="355"/>
                <w:jc w:val="center"/>
              </w:trPr>
              <w:tc>
                <w:tcPr>
                  <w:tcW w:w="8820" w:type="dxa"/>
                  <w:tcBorders>
                    <w:top w:val="nil"/>
                    <w:left w:val="nil"/>
                    <w:bottom w:val="nil"/>
                    <w:right w:val="nil"/>
                  </w:tcBorders>
                  <w:hideMark/>
                </w:tcPr>
                <w:p w:rsidR="009A5FB3" w:rsidRDefault="009A5FB3" w:rsidP="009A5FB3">
                  <w:pPr>
                    <w:jc w:val="center"/>
                    <w:rPr>
                      <w:rFonts w:ascii="David" w:hAnsi="David"/>
                      <w:sz w:val="32"/>
                      <w:szCs w:val="32"/>
                      <w:u w:val="single"/>
                    </w:rPr>
                  </w:pPr>
                  <w:r>
                    <w:rPr>
                      <w:rFonts w:ascii="David" w:hAnsi="David"/>
                      <w:b/>
                      <w:bCs/>
                      <w:sz w:val="32"/>
                      <w:szCs w:val="32"/>
                      <w:u w:val="single"/>
                      <w:rtl/>
                    </w:rPr>
                    <w:t>גזר דין</w:t>
                  </w:r>
                </w:p>
              </w:tc>
            </w:tr>
          </w:tbl>
          <w:p w:rsidR="009A5FB3" w:rsidRDefault="009A5FB3" w:rsidP="009A5FB3">
            <w:pPr>
              <w:rPr>
                <w:rFonts w:ascii="Arial" w:hAnsi="Arial"/>
                <w:b/>
                <w:bCs/>
                <w:sz w:val="26"/>
                <w:szCs w:val="26"/>
                <w:rtl/>
              </w:rPr>
            </w:pPr>
          </w:p>
          <w:p w:rsidR="009A5FB3" w:rsidRDefault="009A5FB3" w:rsidP="009A5FB3">
            <w:pPr>
              <w:spacing w:after="120" w:line="360" w:lineRule="auto"/>
              <w:jc w:val="both"/>
              <w:rPr>
                <w:bCs/>
                <w:u w:val="single"/>
                <w:rtl/>
                <w:lang w:eastAsia="he-IL"/>
              </w:rPr>
            </w:pPr>
          </w:p>
          <w:p w:rsidR="009A5FB3" w:rsidRDefault="009A5FB3" w:rsidP="009A5FB3">
            <w:pPr>
              <w:pStyle w:val="af"/>
              <w:numPr>
                <w:ilvl w:val="0"/>
                <w:numId w:val="3"/>
              </w:numPr>
              <w:spacing w:after="120" w:line="360" w:lineRule="auto"/>
              <w:jc w:val="both"/>
              <w:rPr>
                <w:rFonts w:eastAsia="Times New Roman"/>
                <w:color w:val="000000"/>
              </w:rPr>
            </w:pPr>
            <w:r>
              <w:rPr>
                <w:rFonts w:eastAsia="Times New Roman" w:hint="cs"/>
                <w:color w:val="000000"/>
                <w:rtl/>
              </w:rPr>
              <w:t>הנאשם, קטין במועדי ביצוע העבירות, הודה, במסגרת הסדר דיוני, בעובדות כתב אישום מתוקן, בביצוע העבירות הבאות:</w:t>
            </w:r>
            <w:r>
              <w:rPr>
                <w:rFonts w:eastAsia="Times New Roman" w:hint="cs"/>
                <w:b/>
                <w:bCs/>
                <w:color w:val="000000"/>
                <w:rtl/>
              </w:rPr>
              <w:t xml:space="preserve"> אינוס קטינה מתחת לגיל 16 (שתי עבירות)</w:t>
            </w:r>
            <w:r>
              <w:rPr>
                <w:rFonts w:eastAsia="Times New Roman" w:hint="cs"/>
                <w:color w:val="000000"/>
                <w:rtl/>
              </w:rPr>
              <w:t xml:space="preserve">, לפי סעיף 345(ב)(1) בנסיבות סעיף 345(א)(1) לחוק העונשין, התשל"ז-1977 (להלן: החוק); </w:t>
            </w:r>
            <w:r>
              <w:rPr>
                <w:rFonts w:eastAsia="Times New Roman" w:hint="cs"/>
                <w:b/>
                <w:bCs/>
                <w:color w:val="000000"/>
                <w:rtl/>
              </w:rPr>
              <w:t>אינוס קטינה בת משפחה מתחת לגיל 16 (עבירה אחת)</w:t>
            </w:r>
            <w:r>
              <w:rPr>
                <w:rFonts w:eastAsia="Times New Roman" w:hint="cs"/>
                <w:color w:val="000000"/>
                <w:rtl/>
              </w:rPr>
              <w:t>, לפי סעיף 351(א) בנסיבות סעיף 345(א)(1) לחוק ו</w:t>
            </w:r>
            <w:r>
              <w:rPr>
                <w:rFonts w:eastAsia="Times New Roman" w:hint="cs"/>
                <w:b/>
                <w:bCs/>
                <w:color w:val="000000"/>
                <w:rtl/>
              </w:rPr>
              <w:t>עבירה של ניסיון למעשה סדום בקטינה מתחת לגיל 16,</w:t>
            </w:r>
            <w:r>
              <w:rPr>
                <w:rFonts w:eastAsia="Times New Roman" w:hint="cs"/>
                <w:color w:val="000000"/>
                <w:rtl/>
              </w:rPr>
              <w:t xml:space="preserve"> לפי סעיף 347(ב) בנסיבות 345(ב)(1) וסעיף 345(א)(1) וסעיף 25 לחוק. </w:t>
            </w:r>
          </w:p>
          <w:p w:rsidR="009A5FB3" w:rsidRDefault="009A5FB3" w:rsidP="009A5FB3">
            <w:pPr>
              <w:pStyle w:val="af"/>
              <w:spacing w:after="120" w:line="360" w:lineRule="auto"/>
              <w:jc w:val="both"/>
              <w:rPr>
                <w:rFonts w:eastAsia="Times New Roman"/>
                <w:color w:val="000000"/>
                <w:rtl/>
              </w:rPr>
            </w:pPr>
            <w:r>
              <w:rPr>
                <w:rFonts w:eastAsia="Times New Roman" w:hint="cs"/>
                <w:color w:val="000000"/>
                <w:rtl/>
              </w:rPr>
              <w:t xml:space="preserve"> </w:t>
            </w:r>
          </w:p>
          <w:p w:rsidR="009A5FB3" w:rsidRDefault="009A5FB3" w:rsidP="009A5FB3">
            <w:pPr>
              <w:pStyle w:val="af"/>
              <w:numPr>
                <w:ilvl w:val="0"/>
                <w:numId w:val="3"/>
              </w:numPr>
              <w:spacing w:after="120" w:line="360" w:lineRule="auto"/>
              <w:jc w:val="both"/>
              <w:rPr>
                <w:rFonts w:eastAsia="Times New Roman"/>
                <w:color w:val="000000"/>
              </w:rPr>
            </w:pPr>
            <w:r>
              <w:rPr>
                <w:rFonts w:eastAsia="Times New Roman" w:hint="cs"/>
                <w:color w:val="000000"/>
                <w:rtl/>
              </w:rPr>
              <w:t xml:space="preserve">על פי המפורט </w:t>
            </w:r>
            <w:r>
              <w:rPr>
                <w:rFonts w:eastAsia="Times New Roman" w:hint="cs"/>
                <w:color w:val="000000"/>
                <w:u w:val="single"/>
                <w:rtl/>
              </w:rPr>
              <w:t>באישום הראשון</w:t>
            </w:r>
            <w:r>
              <w:rPr>
                <w:rFonts w:eastAsia="Times New Roman" w:hint="cs"/>
                <w:color w:val="000000"/>
                <w:rtl/>
              </w:rPr>
              <w:t xml:space="preserve"> לכתב האישום המתוקן, הנאשם, יליד 2000, הוא אחיה של הקטינה א.א, ילידת  2006 (להלן: "המתלוננת" או "הקטינה") ובתקופה הרלוונטית התגוררו באותו הבית. בשלושה מקרים בין השנים 2016-2014, כשהקטינה בגילאי 10-8, שניים מהם טרם מלאו לנאשם 15 שנים, בשעות הלילה, בעוד הקטינה שוכבת במיטתה לפני שינה או רדומה, ניגש הנאשם למיטתה, שכב לצידה, הוריד את תחתוניו, הפשיט את בגדיה ותחתוניה של הקטינה והחדיר את איבר מינו לאיבר מינה עד שהגיע לסיפוק מיני. לעיתים בזמן שביצע הנאשם את המעשים בקטינה, נגע או חפן את חזה של הקטינה ולעיתים נגע בדגדגן של הקטינה </w:t>
            </w:r>
            <w:r>
              <w:rPr>
                <w:rFonts w:eastAsia="Times New Roman" w:hint="cs"/>
                <w:color w:val="000000"/>
                <w:rtl/>
              </w:rPr>
              <w:lastRenderedPageBreak/>
              <w:t xml:space="preserve">באמצעות ידו. לאחר אחד האירועים, בעקבות מעשי הנאשם, נותרה הקטינה ערה עד לשעות הבוקר המוקדמות, אז לבשה את בגדיה. </w:t>
            </w:r>
            <w:r>
              <w:rPr>
                <w:rFonts w:eastAsia="Times New Roman" w:hint="cs"/>
                <w:b/>
                <w:bCs/>
                <w:color w:val="000000"/>
                <w:rtl/>
              </w:rPr>
              <w:t>במעשיו אלו בעל הנאשם את אחותו הקטינה שלא בהסכמתה</w:t>
            </w:r>
            <w:r>
              <w:rPr>
                <w:rFonts w:eastAsia="Times New Roman" w:hint="cs"/>
                <w:color w:val="000000"/>
                <w:rtl/>
              </w:rPr>
              <w:t xml:space="preserve">. במסגרת </w:t>
            </w:r>
            <w:r>
              <w:rPr>
                <w:rFonts w:eastAsia="Times New Roman" w:hint="cs"/>
                <w:color w:val="000000"/>
                <w:u w:val="single"/>
                <w:rtl/>
              </w:rPr>
              <w:t>האישום השני</w:t>
            </w:r>
            <w:r>
              <w:rPr>
                <w:rFonts w:eastAsia="Times New Roman" w:hint="cs"/>
                <w:color w:val="000000"/>
                <w:rtl/>
              </w:rPr>
              <w:t xml:space="preserve">, בשנת 2015, נכנס הנאשם לחדרה של הקטינה בשעת לילה ונשכב מאחוריה כשפניו מופנות אליה ופניה מופנות לכיוון המיטה. הנאשם הוריד את תחתוניו, הפשיט את הקטינה מבגדיה ותחתוניה וניסה להחדיר את איבר מינו בחוזקה לפי הטבעת של הקטינה. משלא הצליח לעשות כן, החזיק את איבר מינו בידו וניסה לדחוף אותו פעם נוספת לפי הטבעת של הקטינה בעוצמה חזקה יותר, בשלב זה חשה הקטינה כאב עז, החלה לבכות וקמה ממיטתה לכיוון חדר ההורים במטרה לשתף את אימה בכאב שחשה. הנאשם קם בעקבותיה, הציע לה לשטוף את ישבנה במים כדי להקל על הכאב והקטינה נענתה לבקשתו. </w:t>
            </w:r>
            <w:r>
              <w:rPr>
                <w:rFonts w:eastAsia="Times New Roman" w:hint="cs"/>
                <w:b/>
                <w:bCs/>
                <w:color w:val="000000"/>
                <w:rtl/>
              </w:rPr>
              <w:t>במעשיו אלו ניסה הנאשם לבצע מעשה סדום באחותו הקטינה</w:t>
            </w:r>
            <w:r>
              <w:rPr>
                <w:rFonts w:eastAsia="Times New Roman" w:hint="cs"/>
                <w:color w:val="000000"/>
                <w:rtl/>
              </w:rPr>
              <w:t xml:space="preserve">. </w:t>
            </w:r>
          </w:p>
          <w:p w:rsidR="009A5FB3" w:rsidRDefault="009A5FB3" w:rsidP="009A5FB3">
            <w:pPr>
              <w:pStyle w:val="af"/>
              <w:spacing w:after="120" w:line="360" w:lineRule="auto"/>
              <w:jc w:val="both"/>
              <w:rPr>
                <w:rFonts w:eastAsia="Times New Roman"/>
                <w:b/>
                <w:bCs/>
                <w:color w:val="000000"/>
              </w:rPr>
            </w:pPr>
          </w:p>
          <w:p w:rsidR="009A5FB3" w:rsidRDefault="009A5FB3" w:rsidP="009A5FB3">
            <w:pPr>
              <w:pStyle w:val="af"/>
              <w:spacing w:after="120" w:line="360" w:lineRule="auto"/>
              <w:jc w:val="both"/>
              <w:rPr>
                <w:rFonts w:eastAsia="Times New Roman"/>
                <w:b/>
                <w:bCs/>
                <w:color w:val="000000"/>
                <w:u w:val="single"/>
              </w:rPr>
            </w:pPr>
            <w:r>
              <w:rPr>
                <w:rFonts w:eastAsia="Times New Roman" w:hint="cs"/>
                <w:b/>
                <w:bCs/>
                <w:color w:val="000000"/>
                <w:u w:val="single"/>
                <w:rtl/>
              </w:rPr>
              <w:t>תסקירי שירות מבחן</w:t>
            </w:r>
          </w:p>
          <w:p w:rsidR="009A5FB3" w:rsidRDefault="009A5FB3" w:rsidP="009A5FB3">
            <w:pPr>
              <w:pStyle w:val="af"/>
              <w:numPr>
                <w:ilvl w:val="0"/>
                <w:numId w:val="3"/>
              </w:numPr>
              <w:spacing w:after="120" w:line="360" w:lineRule="auto"/>
              <w:jc w:val="both"/>
              <w:rPr>
                <w:rFonts w:eastAsia="Times New Roman"/>
                <w:color w:val="000000"/>
                <w:rtl/>
              </w:rPr>
            </w:pPr>
            <w:r>
              <w:rPr>
                <w:rFonts w:eastAsia="Times New Roman" w:hint="cs"/>
                <w:color w:val="000000"/>
                <w:rtl/>
              </w:rPr>
              <w:t>[</w:t>
            </w:r>
            <w:r w:rsidRPr="009A5FB3">
              <w:rPr>
                <w:rFonts w:eastAsia="Times New Roman" w:hint="cs"/>
                <w:b/>
                <w:bCs/>
                <w:color w:val="000000"/>
                <w:rtl/>
              </w:rPr>
              <w:t>הושמט</w:t>
            </w:r>
            <w:r>
              <w:rPr>
                <w:rFonts w:eastAsia="Times New Roman" w:hint="cs"/>
                <w:color w:val="000000"/>
                <w:rtl/>
              </w:rPr>
              <w:t xml:space="preserve">]. </w:t>
            </w:r>
          </w:p>
          <w:p w:rsidR="009A5FB3" w:rsidRDefault="009A5FB3" w:rsidP="009A5FB3">
            <w:pPr>
              <w:pStyle w:val="af"/>
              <w:numPr>
                <w:ilvl w:val="0"/>
                <w:numId w:val="3"/>
              </w:numPr>
              <w:spacing w:after="120" w:line="360" w:lineRule="auto"/>
              <w:jc w:val="both"/>
              <w:rPr>
                <w:rFonts w:eastAsia="Times New Roman"/>
                <w:color w:val="000000"/>
                <w:rtl/>
              </w:rPr>
            </w:pPr>
            <w:r>
              <w:rPr>
                <w:rFonts w:eastAsia="Times New Roman" w:hint="cs"/>
                <w:color w:val="000000"/>
                <w:rtl/>
              </w:rPr>
              <w:t>[</w:t>
            </w:r>
            <w:r w:rsidRPr="009A5FB3">
              <w:rPr>
                <w:rFonts w:eastAsia="Times New Roman" w:hint="cs"/>
                <w:b/>
                <w:bCs/>
                <w:color w:val="000000"/>
                <w:rtl/>
              </w:rPr>
              <w:t>הושמט</w:t>
            </w:r>
            <w:r>
              <w:rPr>
                <w:rFonts w:eastAsia="Times New Roman" w:hint="cs"/>
                <w:color w:val="000000"/>
                <w:rtl/>
              </w:rPr>
              <w:t xml:space="preserve">]. </w:t>
            </w:r>
          </w:p>
          <w:p w:rsidR="009A5FB3" w:rsidRDefault="009A5FB3" w:rsidP="009A5FB3">
            <w:pPr>
              <w:pStyle w:val="af"/>
              <w:spacing w:after="120" w:line="360" w:lineRule="auto"/>
              <w:jc w:val="both"/>
              <w:rPr>
                <w:rFonts w:eastAsia="Times New Roman"/>
                <w:color w:val="000000"/>
                <w:rtl/>
              </w:rPr>
            </w:pPr>
          </w:p>
          <w:p w:rsidR="009A5FB3" w:rsidRDefault="009A5FB3" w:rsidP="009A5FB3">
            <w:pPr>
              <w:pStyle w:val="af"/>
              <w:numPr>
                <w:ilvl w:val="0"/>
                <w:numId w:val="3"/>
              </w:numPr>
              <w:spacing w:after="120" w:line="360" w:lineRule="auto"/>
              <w:jc w:val="both"/>
              <w:rPr>
                <w:rFonts w:eastAsia="Times New Roman"/>
                <w:color w:val="000000"/>
              </w:rPr>
            </w:pPr>
            <w:r>
              <w:rPr>
                <w:rFonts w:eastAsia="Times New Roman" w:hint="cs"/>
                <w:color w:val="000000"/>
                <w:rtl/>
              </w:rPr>
              <w:t>[</w:t>
            </w:r>
            <w:r w:rsidRPr="009A5FB3">
              <w:rPr>
                <w:rFonts w:eastAsia="Times New Roman" w:hint="cs"/>
                <w:b/>
                <w:bCs/>
                <w:color w:val="000000"/>
                <w:rtl/>
              </w:rPr>
              <w:t>הושמט</w:t>
            </w:r>
            <w:r>
              <w:rPr>
                <w:rFonts w:eastAsia="Times New Roman" w:hint="cs"/>
                <w:color w:val="000000"/>
                <w:rtl/>
              </w:rPr>
              <w:t xml:space="preserve">]. </w:t>
            </w:r>
          </w:p>
          <w:p w:rsidR="009A5FB3" w:rsidRDefault="009A5FB3" w:rsidP="009A5FB3">
            <w:pPr>
              <w:pStyle w:val="af"/>
              <w:rPr>
                <w:rFonts w:eastAsia="Times New Roman"/>
                <w:color w:val="000000"/>
              </w:rPr>
            </w:pPr>
          </w:p>
          <w:p w:rsidR="009A5FB3" w:rsidRDefault="009A5FB3" w:rsidP="009A5FB3">
            <w:pPr>
              <w:pStyle w:val="af"/>
              <w:numPr>
                <w:ilvl w:val="0"/>
                <w:numId w:val="3"/>
              </w:numPr>
              <w:spacing w:after="120" w:line="360" w:lineRule="auto"/>
              <w:jc w:val="both"/>
              <w:rPr>
                <w:rFonts w:eastAsia="Times New Roman"/>
                <w:color w:val="000000"/>
              </w:rPr>
            </w:pPr>
            <w:r>
              <w:rPr>
                <w:rFonts w:eastAsia="Times New Roman" w:hint="cs"/>
                <w:color w:val="000000"/>
                <w:rtl/>
              </w:rPr>
              <w:t xml:space="preserve">בדיון נוסף שהתקיים בפנינו, לאחר קבלת התסקיר ונוכח עמדתו המסתייגת של הנאשם משילוב במסגרת טיפולית התואמת את צרכיו, מצאנו שלא לקבל את המלצת שירות המבחן לדחיית הדיון להמשך טיפול ותחת זאת לקבל תסקיר סופי הכולל המלצה </w:t>
            </w:r>
            <w:proofErr w:type="spellStart"/>
            <w:r>
              <w:rPr>
                <w:rFonts w:eastAsia="Times New Roman" w:hint="cs"/>
                <w:color w:val="000000"/>
                <w:rtl/>
              </w:rPr>
              <w:t>עונשית</w:t>
            </w:r>
            <w:proofErr w:type="spellEnd"/>
            <w:r>
              <w:rPr>
                <w:rFonts w:eastAsia="Times New Roman" w:hint="cs"/>
                <w:color w:val="000000"/>
                <w:rtl/>
              </w:rPr>
              <w:t xml:space="preserve">. </w:t>
            </w:r>
          </w:p>
          <w:p w:rsidR="009A5FB3" w:rsidRDefault="009A5FB3" w:rsidP="009A5FB3">
            <w:pPr>
              <w:pStyle w:val="af"/>
              <w:rPr>
                <w:rFonts w:eastAsia="Times New Roman"/>
                <w:color w:val="000000"/>
                <w:rtl/>
              </w:rPr>
            </w:pPr>
          </w:p>
          <w:p w:rsidR="009A5FB3" w:rsidRDefault="009A5FB3" w:rsidP="009A5FB3">
            <w:pPr>
              <w:pStyle w:val="af"/>
              <w:numPr>
                <w:ilvl w:val="0"/>
                <w:numId w:val="3"/>
              </w:numPr>
              <w:spacing w:after="120" w:line="360" w:lineRule="auto"/>
              <w:jc w:val="both"/>
              <w:rPr>
                <w:rFonts w:eastAsia="Times New Roman"/>
                <w:color w:val="000000"/>
              </w:rPr>
            </w:pPr>
            <w:r>
              <w:rPr>
                <w:rFonts w:eastAsia="Times New Roman" w:hint="cs"/>
                <w:color w:val="000000"/>
                <w:rtl/>
              </w:rPr>
              <w:t>[</w:t>
            </w:r>
            <w:r w:rsidRPr="009A5FB3">
              <w:rPr>
                <w:rFonts w:eastAsia="Times New Roman" w:hint="cs"/>
                <w:b/>
                <w:bCs/>
                <w:color w:val="000000"/>
                <w:rtl/>
              </w:rPr>
              <w:t>הושמט</w:t>
            </w:r>
            <w:r>
              <w:rPr>
                <w:rFonts w:eastAsia="Times New Roman" w:hint="cs"/>
                <w:color w:val="000000"/>
                <w:rtl/>
              </w:rPr>
              <w:t xml:space="preserve">]. </w:t>
            </w:r>
          </w:p>
          <w:p w:rsidR="009A5FB3" w:rsidRDefault="009A5FB3" w:rsidP="009A5FB3">
            <w:pPr>
              <w:pStyle w:val="af"/>
              <w:rPr>
                <w:rFonts w:eastAsia="Times New Roman"/>
                <w:color w:val="000000"/>
                <w:rtl/>
              </w:rPr>
            </w:pPr>
          </w:p>
          <w:p w:rsidR="009A5FB3" w:rsidRDefault="009A5FB3" w:rsidP="009A5FB3">
            <w:pPr>
              <w:pStyle w:val="af"/>
              <w:spacing w:after="120" w:line="360" w:lineRule="auto"/>
              <w:jc w:val="both"/>
              <w:rPr>
                <w:rFonts w:eastAsia="Times New Roman"/>
                <w:b/>
                <w:bCs/>
                <w:color w:val="000000"/>
                <w:u w:val="single"/>
              </w:rPr>
            </w:pPr>
            <w:r>
              <w:rPr>
                <w:rFonts w:eastAsia="Times New Roman" w:hint="cs"/>
                <w:b/>
                <w:bCs/>
                <w:color w:val="000000"/>
                <w:u w:val="single"/>
                <w:rtl/>
              </w:rPr>
              <w:t>הערכת מסוכנות מינית</w:t>
            </w:r>
          </w:p>
          <w:p w:rsidR="009A5FB3" w:rsidRDefault="009A5FB3" w:rsidP="009A5FB3">
            <w:pPr>
              <w:pStyle w:val="af"/>
              <w:rPr>
                <w:rFonts w:eastAsia="Times New Roman"/>
                <w:color w:val="000000"/>
                <w:rtl/>
              </w:rPr>
            </w:pPr>
          </w:p>
          <w:p w:rsidR="009A5FB3" w:rsidRDefault="009A5FB3" w:rsidP="009A5FB3">
            <w:pPr>
              <w:pStyle w:val="af"/>
              <w:numPr>
                <w:ilvl w:val="0"/>
                <w:numId w:val="3"/>
              </w:numPr>
              <w:spacing w:after="120" w:line="360" w:lineRule="auto"/>
              <w:jc w:val="both"/>
              <w:rPr>
                <w:rFonts w:eastAsia="Times New Roman"/>
                <w:color w:val="000000"/>
              </w:rPr>
            </w:pPr>
            <w:r>
              <w:rPr>
                <w:rFonts w:eastAsia="Times New Roman" w:hint="cs"/>
                <w:color w:val="000000"/>
                <w:rtl/>
              </w:rPr>
              <w:t>[</w:t>
            </w:r>
            <w:r w:rsidRPr="009A5FB3">
              <w:rPr>
                <w:rFonts w:eastAsia="Times New Roman" w:hint="cs"/>
                <w:b/>
                <w:bCs/>
                <w:color w:val="000000"/>
                <w:rtl/>
              </w:rPr>
              <w:t>הושמט</w:t>
            </w:r>
            <w:r>
              <w:rPr>
                <w:rFonts w:eastAsia="Times New Roman" w:hint="cs"/>
                <w:color w:val="000000"/>
                <w:rtl/>
              </w:rPr>
              <w:t xml:space="preserve">]. </w:t>
            </w:r>
          </w:p>
          <w:p w:rsidR="009A5FB3" w:rsidRDefault="009A5FB3" w:rsidP="009A5FB3">
            <w:pPr>
              <w:pStyle w:val="af"/>
              <w:rPr>
                <w:rFonts w:eastAsia="Times New Roman"/>
                <w:color w:val="000000"/>
                <w:rtl/>
              </w:rPr>
            </w:pPr>
          </w:p>
          <w:p w:rsidR="009A5FB3" w:rsidRDefault="009A5FB3" w:rsidP="009A5FB3">
            <w:pPr>
              <w:spacing w:after="120" w:line="360" w:lineRule="auto"/>
              <w:ind w:left="-1" w:firstLine="361"/>
              <w:jc w:val="both"/>
              <w:rPr>
                <w:b/>
                <w:bCs/>
                <w:color w:val="000000"/>
                <w:u w:val="single"/>
                <w:rtl/>
              </w:rPr>
            </w:pPr>
            <w:r>
              <w:rPr>
                <w:b/>
                <w:bCs/>
                <w:color w:val="000000"/>
                <w:u w:val="single"/>
                <w:rtl/>
              </w:rPr>
              <w:t>ראיות הגנה לעונש</w:t>
            </w:r>
          </w:p>
          <w:p w:rsidR="009A5FB3" w:rsidRDefault="009A5FB3" w:rsidP="009A5FB3">
            <w:pPr>
              <w:numPr>
                <w:ilvl w:val="0"/>
                <w:numId w:val="3"/>
              </w:numPr>
              <w:spacing w:after="120" w:line="360" w:lineRule="auto"/>
              <w:jc w:val="both"/>
              <w:rPr>
                <w:b/>
                <w:rtl/>
                <w:lang w:eastAsia="he-IL"/>
              </w:rPr>
            </w:pPr>
            <w:r>
              <w:rPr>
                <w:color w:val="000000"/>
                <w:rtl/>
                <w:lang w:eastAsia="he-IL"/>
              </w:rPr>
              <w:t xml:space="preserve">ההגנה הגישה מטעמה חוות דעת קרימינולוגית פרטית על אודות הנאשם שנערכה ע"י עו"ס גב' מורן דוידיאן ממרכז "הזדמנויות" (נ/2). </w:t>
            </w:r>
            <w:r>
              <w:rPr>
                <w:rFonts w:hint="cs"/>
                <w:color w:val="000000"/>
                <w:rtl/>
                <w:lang w:eastAsia="he-IL"/>
              </w:rPr>
              <w:t>[</w:t>
            </w:r>
            <w:r w:rsidRPr="009A5FB3">
              <w:rPr>
                <w:rFonts w:hint="cs"/>
                <w:b/>
                <w:bCs/>
                <w:color w:val="000000"/>
                <w:rtl/>
                <w:lang w:eastAsia="he-IL"/>
              </w:rPr>
              <w:t>הושמט</w:t>
            </w:r>
            <w:r>
              <w:rPr>
                <w:rFonts w:hint="cs"/>
                <w:color w:val="000000"/>
                <w:rtl/>
                <w:lang w:eastAsia="he-IL"/>
              </w:rPr>
              <w:t>]</w:t>
            </w:r>
            <w:r>
              <w:rPr>
                <w:b/>
                <w:rtl/>
                <w:lang w:eastAsia="he-IL"/>
              </w:rPr>
              <w:t xml:space="preserve">. </w:t>
            </w:r>
          </w:p>
          <w:p w:rsidR="009A5FB3" w:rsidRDefault="009A5FB3" w:rsidP="009A5FB3">
            <w:pPr>
              <w:spacing w:after="120" w:line="360" w:lineRule="auto"/>
              <w:ind w:left="1068"/>
              <w:jc w:val="both"/>
              <w:rPr>
                <w:b/>
                <w:rtl/>
                <w:lang w:eastAsia="he-IL"/>
              </w:rPr>
            </w:pPr>
          </w:p>
          <w:p w:rsidR="009A5FB3" w:rsidRDefault="009A5FB3" w:rsidP="009A5FB3">
            <w:pPr>
              <w:numPr>
                <w:ilvl w:val="0"/>
                <w:numId w:val="3"/>
              </w:numPr>
              <w:spacing w:after="120" w:line="360" w:lineRule="auto"/>
              <w:jc w:val="both"/>
              <w:rPr>
                <w:b/>
                <w:lang w:eastAsia="he-IL"/>
              </w:rPr>
            </w:pPr>
            <w:r>
              <w:rPr>
                <w:b/>
                <w:rtl/>
                <w:lang w:eastAsia="he-IL"/>
              </w:rPr>
              <w:t xml:space="preserve">עוד העיד מטעם ההגנה סרן שחף קרייף, קצין לוגיסטיקה חטיבתי ששירת בעבר בתפקידי לחימה שונים בחטיבת הנח"ל כמפקדו של הנאשם. לדבריו, הנאשם שימש נהגו האישי והתקדם במרוצת הזמן לשמש כרס"פ, אחראי על מנהלת הפלוגה ויד ימינו. במהלך השירות חוו אירועים טראגיים שבהם נהרגו לוחמים </w:t>
            </w:r>
            <w:r>
              <w:rPr>
                <w:b/>
                <w:rtl/>
                <w:lang w:eastAsia="he-IL"/>
              </w:rPr>
              <w:lastRenderedPageBreak/>
              <w:t xml:space="preserve">בפלוגה, הנאשם תפקד במצבים מורכבים באחריות והפגין כישורים פיקודיים, דאג לחייליו ותפקד תוך כדי סיכון חיים. הנאשם קיבל תעודת הצטיינות על תפקודו והיה אהוב על כולם נוכח אישיותו הצנועה והחיובית. </w:t>
            </w:r>
          </w:p>
          <w:p w:rsidR="009A5FB3" w:rsidRDefault="009A5FB3" w:rsidP="009A5FB3">
            <w:pPr>
              <w:spacing w:after="120" w:line="360" w:lineRule="auto"/>
              <w:ind w:left="720"/>
              <w:jc w:val="both"/>
              <w:rPr>
                <w:bCs/>
                <w:u w:val="single"/>
                <w:lang w:eastAsia="he-IL"/>
              </w:rPr>
            </w:pPr>
            <w:r>
              <w:rPr>
                <w:bCs/>
                <w:u w:val="single"/>
                <w:rtl/>
                <w:lang w:eastAsia="he-IL"/>
              </w:rPr>
              <w:t>עדות המתלוננת לעונש</w:t>
            </w:r>
          </w:p>
          <w:p w:rsidR="009A5FB3" w:rsidRDefault="00613BE4" w:rsidP="009A5FB3">
            <w:pPr>
              <w:numPr>
                <w:ilvl w:val="0"/>
                <w:numId w:val="3"/>
              </w:numPr>
              <w:spacing w:after="120" w:line="360" w:lineRule="auto"/>
              <w:jc w:val="both"/>
              <w:rPr>
                <w:b/>
                <w:lang w:eastAsia="he-IL"/>
              </w:rPr>
            </w:pPr>
            <w:r>
              <w:rPr>
                <w:rFonts w:hint="cs"/>
                <w:b/>
                <w:rtl/>
                <w:lang w:eastAsia="he-IL"/>
              </w:rPr>
              <w:t>[</w:t>
            </w:r>
            <w:r w:rsidRPr="00613BE4">
              <w:rPr>
                <w:rFonts w:hint="cs"/>
                <w:bCs/>
                <w:rtl/>
                <w:lang w:eastAsia="he-IL"/>
              </w:rPr>
              <w:t>הושמט</w:t>
            </w:r>
            <w:r>
              <w:rPr>
                <w:rFonts w:hint="cs"/>
                <w:b/>
                <w:rtl/>
                <w:lang w:eastAsia="he-IL"/>
              </w:rPr>
              <w:t>]</w:t>
            </w:r>
            <w:r w:rsidR="009A5FB3">
              <w:rPr>
                <w:b/>
                <w:rtl/>
                <w:lang w:eastAsia="he-IL"/>
              </w:rPr>
              <w:t xml:space="preserve">. </w:t>
            </w:r>
          </w:p>
          <w:p w:rsidR="009A5FB3" w:rsidRDefault="009A5FB3" w:rsidP="00613BE4">
            <w:pPr>
              <w:numPr>
                <w:ilvl w:val="0"/>
                <w:numId w:val="3"/>
              </w:numPr>
              <w:spacing w:after="120" w:line="360" w:lineRule="auto"/>
              <w:jc w:val="both"/>
              <w:rPr>
                <w:b/>
                <w:lang w:eastAsia="he-IL"/>
              </w:rPr>
            </w:pPr>
            <w:r>
              <w:rPr>
                <w:b/>
                <w:rtl/>
                <w:lang w:eastAsia="he-IL"/>
              </w:rPr>
              <w:t xml:space="preserve">עוד שמענו את אמו של הנאשם </w:t>
            </w:r>
            <w:r w:rsidR="00613BE4">
              <w:rPr>
                <w:rFonts w:hint="cs"/>
                <w:b/>
                <w:rtl/>
                <w:lang w:eastAsia="he-IL"/>
              </w:rPr>
              <w:t>[</w:t>
            </w:r>
            <w:r w:rsidR="00613BE4" w:rsidRPr="00613BE4">
              <w:rPr>
                <w:rFonts w:hint="cs"/>
                <w:bCs/>
                <w:rtl/>
                <w:lang w:eastAsia="he-IL"/>
              </w:rPr>
              <w:t>הושמט</w:t>
            </w:r>
            <w:r w:rsidR="00613BE4">
              <w:rPr>
                <w:rFonts w:hint="cs"/>
                <w:b/>
                <w:rtl/>
                <w:lang w:eastAsia="he-IL"/>
              </w:rPr>
              <w:t>]</w:t>
            </w:r>
            <w:r>
              <w:rPr>
                <w:b/>
                <w:rtl/>
                <w:lang w:eastAsia="he-IL"/>
              </w:rPr>
              <w:t xml:space="preserve">. </w:t>
            </w:r>
          </w:p>
          <w:p w:rsidR="009A5FB3" w:rsidRDefault="009A5FB3" w:rsidP="009A5FB3">
            <w:pPr>
              <w:spacing w:after="120" w:line="360" w:lineRule="auto"/>
              <w:ind w:left="720"/>
              <w:jc w:val="both"/>
              <w:rPr>
                <w:bCs/>
                <w:u w:val="single"/>
                <w:lang w:eastAsia="he-IL"/>
              </w:rPr>
            </w:pPr>
            <w:r>
              <w:rPr>
                <w:bCs/>
                <w:u w:val="single"/>
                <w:rtl/>
                <w:lang w:eastAsia="he-IL"/>
              </w:rPr>
              <w:t>טיעוני הצדדים לעונש</w:t>
            </w:r>
          </w:p>
          <w:p w:rsidR="009A5FB3" w:rsidRDefault="009A5FB3" w:rsidP="009A5FB3">
            <w:pPr>
              <w:numPr>
                <w:ilvl w:val="0"/>
                <w:numId w:val="3"/>
              </w:numPr>
              <w:spacing w:line="360" w:lineRule="auto"/>
              <w:jc w:val="both"/>
              <w:rPr>
                <w:rFonts w:ascii="David" w:hAnsi="David"/>
                <w:color w:val="000000"/>
              </w:rPr>
            </w:pPr>
            <w:r>
              <w:rPr>
                <w:color w:val="000000"/>
                <w:rtl/>
              </w:rPr>
              <w:t xml:space="preserve">ב"כ המאשימה, עו"ד שמעון לוי, עמד בפתח דבריו על חומרת מעשיו של הנאשם, שביצע עבירות אינוס ומעשה סדום באחותו בעת שהייתה בגילאי 10-8 שנים, קטינה רכה בשנים. האישום השני בוצע תוך גרימת כאב עז למתלוננת והנאשם אף ניסה להניא את אחותו מלספר על מעשיו לאמו. לטענתו הנאשם פגע פגיעה חמורה בערכים המוגנים ובעיקר בשלומה הפיזי והנפשי של המתלוננת, פגיעה בה בביתה ע"י אחיה הגדול, שניצל את גילה הצעיר ואת תמימותה ורצונה לשמור על שלמות המשפחה. המעשים נמשכו פרק זמן ממושך, בוצעו בתכנון, בשעות לילה כשאחיותיה ישנות. לדבריו, הודאת הנאשם פורמלית, ללא חרטה אמיתית, ועל אף הזמן שחלף הנאשם לא הצליח להתקדם במישור הטיפולי ולא גילה אמפתיה למתלוננת. לטענת המאשימה תסקיריו של הנאשם שליליים, הנאשם התנגד לשילוב במסגרת טיפולית חרף נזקקות, התייחס להמלצות גורמי הטיפול כ"תכנית כבקשתך", הביע עמדות מטשטשות ביחס להתנהלותו, הפגין עיוותי חשיבה לרבות צמצום הפגיעה במתלוננת והמלצתו הסופית של שירות המבחן אינה טיפולית.  עוד ניכר שמתקשה בהפנמת מסרים טיפוליים. עוד נטען כי עמדת המתלוננת שמבקשת להקל עם הנאשם נובעת בעיקר מהמצב הבלתי אפשרי שאליו נקלעה. לקולא ציין את גילו הצעיר של הנאשם במועד ביצוע המעשים, חסכון בעדות המתלוננת וחלוף הזמן. אשר לחווה"ד נ/2 סבור שאין להעדיפה על פני התסקירים והיא מבוססת על שיחה אחת עם הנאשם ולא על קשר טיפולי. המאשימה עתרה להרשעת הנאשם ולעונש מאסר ראוי בן 4 שנים, מאסר על תנאי ממושך ומרתיע ופיצוי גבוה לטובת המתלוננת. לטענתו עמדתם העונשית מתונה, מתבססת על קטינותו של הנאשם, הפסיקה הנוהגת והתחשבות בעמדת המתלוננת. </w:t>
            </w:r>
          </w:p>
          <w:p w:rsidR="009A5FB3" w:rsidRDefault="009A5FB3" w:rsidP="009A5FB3">
            <w:pPr>
              <w:spacing w:line="360" w:lineRule="auto"/>
              <w:ind w:left="720"/>
              <w:jc w:val="both"/>
              <w:rPr>
                <w:color w:val="000000"/>
                <w:rtl/>
              </w:rPr>
            </w:pPr>
          </w:p>
          <w:p w:rsidR="009A5FB3" w:rsidRDefault="009A5FB3" w:rsidP="009A5FB3">
            <w:pPr>
              <w:numPr>
                <w:ilvl w:val="0"/>
                <w:numId w:val="3"/>
              </w:numPr>
              <w:spacing w:line="360" w:lineRule="auto"/>
              <w:jc w:val="both"/>
              <w:rPr>
                <w:color w:val="000000"/>
              </w:rPr>
            </w:pPr>
            <w:r>
              <w:rPr>
                <w:color w:val="000000"/>
                <w:rtl/>
              </w:rPr>
              <w:t xml:space="preserve">ב"כ הנאשם, עו"ד אביעד לנצ'נר, סקר בהרחבה את נסיבותיהם החיוביות של הנאשם ומשפחתו. לדבריו מדובר במשפחה יוצאת דופן, מעבר לילדיהם אימצו מספר ילדי אומנה ומקדישים זמן רב למעשי חסד. עוד עמד על המצב הבלתי אפשרי שבו מצויים ההורים, בין המתלוננת לנאשם כשלדבריו הם מצליחים לתמוך בשניים ולקדם אותם. עוד לטענתו הנאשם נטל אחריות באופן מלא ועשה הכל כדי לחסוך את עדות המתלוננת. באשר לנסיבות המעשים ביקש להתחשב בקטינותו וציין שלא בכדי קבע המחוקק כי לפני גיל 15 נער אינו יכול להבין כנדרש את חומרת מעשיו ולכן לא ניתן להאשימו בנסיבה המחמירה של עבירה כלפי בן משפחה. עוד לטענתו המעשים אינם מתוכננים וביצועם בחדר שבו ישנו אחיותיו מעיד על אימפולסיביות של נער שלא חשב על השלכות מעשיו, הנאשם אף הפסיק לבצעם מיוזמתו לפני שאלו נחשפו. עוד ביקש ליתן משקל ממשי לעמדת </w:t>
            </w:r>
            <w:r>
              <w:rPr>
                <w:color w:val="000000"/>
                <w:rtl/>
              </w:rPr>
              <w:lastRenderedPageBreak/>
              <w:t xml:space="preserve">המתלוננת שביקשה בכל ליבה לגזור על הנאשם עונש שיסייע לשיקומו ולשיקום המשפחה כולה. אשר להליכי השיקום, לדבריו לאחר שהנאשם לא הסכים להשתלב ב"מעגלים" עשה שירות מבחן חשיבה נוספת והתאים לנאשם הליכי טיפול יעילים יותר בעבורו. הנאשם לא הכחיש את מעשיו, הוא מתבייש במעשים הקשים שעשה לעומת הדרך הנורמטיבית שבה מנהל את חייו. הוא שירת שירות צבאי משמעותי בהצטיינות, במשך שנתיים הורחק ממשפחתו וחווה קשיים רבים במהלך ילדותו (אסופת מסמכים, נ/1). עוד ביקש לקבל את התרשמות מומחית ההגנה, כי טענת אובדן הזיכרון וחוסר היכולת של הנאשם להיפתח ולטפל בעצמו אינה נובעת מהכחשה אלא מניסיון להדחקה, סגירות ובושה ומחייבת תקופה טיפול ממושכת יותר. לטענתו תסקירי שירות המבחן אינם שליליים, ניכרת התקדמות טיפולית, הנאשם משתף פעולה ועושה ככל שיכול כדי לקדם את עצמו. גם שילובו במרכז "מפנה" תורם לשיקומו, מסוכנותו הוערכה כבינונית-נמוכה. ב"כ הנאשם סבור שהפסיקה שאליה הפנתה המאשימה אינה רלוונטית ונסיבותיה חמורות יותר ומבקש לגזור על הנאשם עבודות שירות. </w:t>
            </w:r>
          </w:p>
          <w:p w:rsidR="009A5FB3" w:rsidRDefault="009A5FB3" w:rsidP="009A5FB3">
            <w:pPr>
              <w:spacing w:line="360" w:lineRule="auto"/>
              <w:ind w:left="720" w:firstLine="348"/>
              <w:jc w:val="both"/>
              <w:rPr>
                <w:color w:val="000000"/>
              </w:rPr>
            </w:pPr>
            <w:r>
              <w:rPr>
                <w:color w:val="000000"/>
                <w:rtl/>
              </w:rPr>
              <w:t xml:space="preserve">הצדדים הגישו אסופות פסיקה לתמיכה בטיעוניהם. </w:t>
            </w:r>
          </w:p>
          <w:p w:rsidR="009A5FB3" w:rsidRDefault="009A5FB3" w:rsidP="009A5FB3">
            <w:pPr>
              <w:spacing w:line="360" w:lineRule="auto"/>
              <w:ind w:left="720"/>
              <w:jc w:val="both"/>
              <w:rPr>
                <w:color w:val="000000"/>
              </w:rPr>
            </w:pPr>
          </w:p>
          <w:p w:rsidR="009A5FB3" w:rsidRDefault="009A5FB3" w:rsidP="009A5FB3">
            <w:pPr>
              <w:pStyle w:val="af"/>
              <w:numPr>
                <w:ilvl w:val="0"/>
                <w:numId w:val="3"/>
              </w:numPr>
              <w:spacing w:line="360" w:lineRule="auto"/>
              <w:jc w:val="both"/>
              <w:rPr>
                <w:rFonts w:eastAsia="Times New Roman"/>
                <w:color w:val="000000"/>
                <w:rtl/>
              </w:rPr>
            </w:pPr>
            <w:r>
              <w:rPr>
                <w:rFonts w:eastAsia="Times New Roman" w:hint="cs"/>
                <w:color w:val="000000"/>
                <w:rtl/>
              </w:rPr>
              <w:t xml:space="preserve">הנאשם פתח את דבריו בהתנצלות כלפי המתלוננת והסביר שמתקשה מאד להיפתח אך עושה מאמצים לשנות את דרכי חשיבתו ולהתחבר לרגשות. לדבריו השתדל מאד בקבוצה ובטיפול הפרטני וביקש בכל לשון לאפשר לו להשלים את הליכי שיקומו ולא לגזור עליו עונש מאסר. </w:t>
            </w:r>
          </w:p>
          <w:p w:rsidR="009A5FB3" w:rsidRDefault="009A5FB3" w:rsidP="009A5FB3">
            <w:pPr>
              <w:pStyle w:val="af"/>
              <w:spacing w:line="360" w:lineRule="auto"/>
              <w:ind w:left="1068"/>
              <w:jc w:val="both"/>
              <w:rPr>
                <w:rFonts w:eastAsia="Times New Roman"/>
                <w:color w:val="000000"/>
                <w:rtl/>
              </w:rPr>
            </w:pPr>
          </w:p>
          <w:p w:rsidR="009A5FB3" w:rsidRDefault="009A5FB3" w:rsidP="009A5FB3">
            <w:pPr>
              <w:spacing w:line="360" w:lineRule="auto"/>
              <w:jc w:val="both"/>
              <w:rPr>
                <w:bCs/>
                <w:u w:val="single"/>
                <w:lang w:eastAsia="he-IL"/>
              </w:rPr>
            </w:pPr>
            <w:r>
              <w:rPr>
                <w:bCs/>
                <w:sz w:val="28"/>
                <w:szCs w:val="28"/>
                <w:u w:val="single"/>
                <w:rtl/>
                <w:lang w:eastAsia="he-IL"/>
              </w:rPr>
              <w:t xml:space="preserve">דיון והכרעה </w:t>
            </w:r>
          </w:p>
          <w:p w:rsidR="009A5FB3" w:rsidRDefault="009A5FB3" w:rsidP="009A5FB3">
            <w:pPr>
              <w:pStyle w:val="af"/>
              <w:numPr>
                <w:ilvl w:val="0"/>
                <w:numId w:val="3"/>
              </w:numPr>
              <w:spacing w:line="360" w:lineRule="auto"/>
              <w:jc w:val="both"/>
              <w:rPr>
                <w:rFonts w:ascii="Times New Roman" w:eastAsia="Times New Roman" w:hAnsi="Times New Roman"/>
                <w:color w:val="000000"/>
              </w:rPr>
            </w:pPr>
            <w:r>
              <w:rPr>
                <w:rFonts w:hint="cs"/>
                <w:color w:val="000000"/>
                <w:rtl/>
              </w:rPr>
              <w:t>בהסכמת הצדדים אנו מרשיעים את הנאשם בעבירות המיוחסות לו בכתב האישום המתוקן.</w:t>
            </w:r>
          </w:p>
          <w:p w:rsidR="009A5FB3" w:rsidRDefault="009A5FB3" w:rsidP="009A5FB3">
            <w:pPr>
              <w:pStyle w:val="af"/>
              <w:spacing w:line="360" w:lineRule="auto"/>
              <w:ind w:left="1068"/>
              <w:jc w:val="both"/>
              <w:rPr>
                <w:rFonts w:ascii="Times New Roman" w:eastAsia="Times New Roman" w:hAnsi="Times New Roman"/>
                <w:color w:val="000000"/>
                <w:rtl/>
              </w:rPr>
            </w:pPr>
          </w:p>
          <w:p w:rsidR="009A5FB3" w:rsidRDefault="009A5FB3" w:rsidP="009A5FB3">
            <w:pPr>
              <w:pStyle w:val="a0"/>
              <w:numPr>
                <w:ilvl w:val="0"/>
                <w:numId w:val="3"/>
              </w:numPr>
              <w:tabs>
                <w:tab w:val="left" w:pos="720"/>
              </w:tabs>
              <w:jc w:val="both"/>
            </w:pPr>
            <w:r>
              <w:rPr>
                <w:rFonts w:hint="cs"/>
                <w:rtl/>
              </w:rPr>
              <w:t xml:space="preserve">גזירת דינו של בגיר על מעשים חמורים שביצע </w:t>
            </w:r>
            <w:proofErr w:type="spellStart"/>
            <w:r>
              <w:rPr>
                <w:rFonts w:hint="cs"/>
                <w:rtl/>
              </w:rPr>
              <w:t>בקטינותו</w:t>
            </w:r>
            <w:proofErr w:type="spellEnd"/>
            <w:r>
              <w:rPr>
                <w:rFonts w:hint="cs"/>
                <w:rtl/>
              </w:rPr>
              <w:t xml:space="preserve"> - מלאכה קשה היא, וגלום בה "</w:t>
            </w:r>
            <w:r>
              <w:rPr>
                <w:rFonts w:hint="cs"/>
                <w:b/>
                <w:bCs/>
                <w:rtl/>
              </w:rPr>
              <w:t>מתח שבין המעשה והעושה בגזירת הדין וביחס לשיקולי ההלימה, התומכים במקרה זה בעונש מאסר משמעותי, לבין שיקולי שיקום התומכים במקרה זה בעונש מתון</w:t>
            </w:r>
            <w:r>
              <w:rPr>
                <w:rFonts w:hint="cs"/>
                <w:rtl/>
              </w:rPr>
              <w:t xml:space="preserve">" (ע"פ 7211/13 </w:t>
            </w:r>
            <w:r>
              <w:rPr>
                <w:rFonts w:hint="cs"/>
                <w:b/>
                <w:bCs/>
                <w:rtl/>
              </w:rPr>
              <w:t>פלוני נ' מדינת ישראל</w:t>
            </w:r>
            <w:r>
              <w:rPr>
                <w:rFonts w:hint="cs"/>
                <w:rtl/>
              </w:rPr>
              <w:t xml:space="preserve">, פיסקה 76 לפסק דינו של כב' השופט מלצר (13.12.15); ע"פ 5363/15 </w:t>
            </w:r>
            <w:r>
              <w:rPr>
                <w:rFonts w:hint="cs"/>
                <w:b/>
                <w:bCs/>
                <w:rtl/>
              </w:rPr>
              <w:t>פלוני נ' מדינת ישראל</w:t>
            </w:r>
            <w:r>
              <w:rPr>
                <w:rFonts w:hint="cs"/>
                <w:rtl/>
              </w:rPr>
              <w:t xml:space="preserve">, פיסקה 33 (11.5.16)). כתב האישום בענייננו מתאר מסכת פגיעות מיניות שביצע הנאשם - במועד ביצוע העבירות קטין בגילאי 16-14 - באחותו הצעירה, בת 10-8 שנים, אינוס וניסיון למעשה סדום, כולם בוצעו בביתם, בחדרה של המתלוננת, בעת ששלוש אחיותיהם ישנו בסמוך. כתב האישום מתאר ריבוי מעשים אשר בוצעו בפרק זמן של שנתיים כלפי אותה נפגעת עבירה. בהתאם למבחני הפסיקה, כפי שנקבעו בע"פ 4910/13 </w:t>
            </w:r>
            <w:r>
              <w:rPr>
                <w:rFonts w:hint="cs"/>
                <w:b/>
                <w:bCs/>
                <w:rtl/>
              </w:rPr>
              <w:t>ג'אבר נ' מדינת ישראל</w:t>
            </w:r>
            <w:r>
              <w:rPr>
                <w:rFonts w:hint="cs"/>
                <w:rtl/>
              </w:rPr>
              <w:t xml:space="preserve"> (29.10.14), יש לראות במעשים כסדרה אחת של מעשי עבירה שקיים ביניהם קשר ענייני הדוק, ומכאן שיש לראותם כאירוע אחד אשר בגינו יש לקבוע </w:t>
            </w:r>
            <w:r>
              <w:rPr>
                <w:rFonts w:hint="cs"/>
                <w:b/>
                <w:bCs/>
                <w:rtl/>
              </w:rPr>
              <w:t>מתחם עונש הולם אחד</w:t>
            </w:r>
            <w:r>
              <w:rPr>
                <w:rFonts w:hint="cs"/>
                <w:rtl/>
              </w:rPr>
              <w:t xml:space="preserve">. </w:t>
            </w:r>
          </w:p>
          <w:p w:rsidR="009A5FB3" w:rsidRDefault="009A5FB3" w:rsidP="009A5FB3">
            <w:pPr>
              <w:pStyle w:val="a0"/>
              <w:numPr>
                <w:ilvl w:val="0"/>
                <w:numId w:val="0"/>
              </w:numPr>
              <w:tabs>
                <w:tab w:val="left" w:pos="720"/>
              </w:tabs>
              <w:ind w:left="1068"/>
              <w:jc w:val="both"/>
            </w:pPr>
          </w:p>
          <w:p w:rsidR="009A5FB3" w:rsidRDefault="009A5FB3" w:rsidP="009A5FB3">
            <w:pPr>
              <w:pStyle w:val="af"/>
              <w:numPr>
                <w:ilvl w:val="0"/>
                <w:numId w:val="3"/>
              </w:numPr>
              <w:spacing w:line="360" w:lineRule="auto"/>
              <w:jc w:val="both"/>
              <w:rPr>
                <w:rFonts w:eastAsia="Times New Roman"/>
                <w:color w:val="000000"/>
              </w:rPr>
            </w:pPr>
            <w:r>
              <w:rPr>
                <w:rFonts w:hint="cs"/>
                <w:color w:val="000000"/>
                <w:rtl/>
              </w:rPr>
              <w:lastRenderedPageBreak/>
              <w:t xml:space="preserve">הנאשם פגע במעשיו הקשים בשורה של ערכים מוגנים ובראשם כבודה, נפשה וגופה של המתלוננת, זכותה לחירות ולאוטונומיה על גופה, לביטחונה האישי והאמון הטבוע בתא המשפחתי. מעשה של גילוי עריות שמבצע אח באחותו שלא בהסכמתה מהווה עינוי, כמעשה אמנון בתמר: "וְלֹא אָבָה, לִשְׁמֹעַ בְּקוֹלָהּ; וַיֶּחֱזַק מִמֶּנָּה וַיְעַנֶּהָ, וַיִּשְׁכַּב אֹתָהּ" (שמואל ב', </w:t>
            </w:r>
            <w:proofErr w:type="spellStart"/>
            <w:r>
              <w:rPr>
                <w:rFonts w:hint="cs"/>
                <w:color w:val="000000"/>
                <w:rtl/>
              </w:rPr>
              <w:t>יג</w:t>
            </w:r>
            <w:proofErr w:type="spellEnd"/>
            <w:r>
              <w:rPr>
                <w:rFonts w:hint="cs"/>
                <w:color w:val="000000"/>
                <w:rtl/>
              </w:rPr>
              <w:t xml:space="preserve">', 14). גילם הצעיר ותמימותם של ילדות וילדים נפגעי עבירה הופכים אותם לפגיעים במיוחד, בפרט כאשר הפגיעה מתרחשת על ידי קרוב משפחה המנצל זאת, בתוך ביתם מבצרם. </w:t>
            </w:r>
          </w:p>
          <w:p w:rsidR="009A5FB3" w:rsidRDefault="009A5FB3" w:rsidP="009A5FB3">
            <w:pPr>
              <w:pStyle w:val="af"/>
              <w:rPr>
                <w:color w:val="000000"/>
              </w:rPr>
            </w:pPr>
          </w:p>
          <w:p w:rsidR="009A5FB3" w:rsidRDefault="009A5FB3" w:rsidP="009A5FB3">
            <w:pPr>
              <w:pStyle w:val="af"/>
              <w:numPr>
                <w:ilvl w:val="0"/>
                <w:numId w:val="3"/>
              </w:numPr>
              <w:spacing w:line="360" w:lineRule="auto"/>
              <w:jc w:val="both"/>
              <w:rPr>
                <w:rFonts w:eastAsia="Times New Roman"/>
                <w:color w:val="000000"/>
              </w:rPr>
            </w:pPr>
            <w:r>
              <w:rPr>
                <w:rFonts w:hint="cs"/>
                <w:color w:val="000000"/>
                <w:rtl/>
              </w:rPr>
              <w:t xml:space="preserve">בית המשפט העליון עמד פעמים רבות על הצורך בענישה מחמירה בעבירות מין במשפחה שהן מהבזויות שבספר החוקים. </w:t>
            </w:r>
            <w:r>
              <w:rPr>
                <w:rFonts w:ascii="Times New Roman" w:eastAsia="Times New Roman" w:hAnsi="Times New Roman" w:hint="cs"/>
                <w:b/>
                <w:bCs/>
                <w:rtl/>
              </w:rPr>
              <w:t>"עבירות מין במשפחה הן מן החמורות בקשת העבירות, ובמיוחד כך, כאשר הן מתבצעות כלפי קטין חסר ישע ולאורך תקופה ארוכה של שנים. הנזק הכבד לקורבן, שלרוב אינו בר-תיקון, מחייב החמרה בדין כאמצעי גמול והתרעה" (</w:t>
            </w:r>
            <w:r>
              <w:rPr>
                <w:rFonts w:ascii="Times New Roman" w:eastAsia="Times New Roman" w:hAnsi="Times New Roman" w:hint="cs"/>
                <w:rtl/>
              </w:rPr>
              <w:t xml:space="preserve">ע"פ 2485/00 </w:t>
            </w:r>
            <w:r>
              <w:rPr>
                <w:rFonts w:ascii="Times New Roman" w:eastAsia="Times New Roman" w:hAnsi="Times New Roman" w:hint="cs"/>
                <w:b/>
                <w:bCs/>
                <w:rtl/>
              </w:rPr>
              <w:t xml:space="preserve">פלוני נ' מדינת ישראל, </w:t>
            </w:r>
            <w:r>
              <w:rPr>
                <w:rFonts w:ascii="Times New Roman" w:eastAsia="Times New Roman" w:hAnsi="Times New Roman" w:hint="cs"/>
                <w:rtl/>
              </w:rPr>
              <w:t xml:space="preserve">פ"ד </w:t>
            </w:r>
            <w:proofErr w:type="spellStart"/>
            <w:r>
              <w:rPr>
                <w:rFonts w:ascii="Times New Roman" w:eastAsia="Times New Roman" w:hAnsi="Times New Roman" w:hint="cs"/>
                <w:rtl/>
              </w:rPr>
              <w:t>נה</w:t>
            </w:r>
            <w:proofErr w:type="spellEnd"/>
            <w:r>
              <w:rPr>
                <w:rFonts w:ascii="Times New Roman" w:eastAsia="Times New Roman" w:hAnsi="Times New Roman" w:hint="cs"/>
                <w:rtl/>
              </w:rPr>
              <w:t xml:space="preserve"> (2) 918,</w:t>
            </w:r>
            <w:r>
              <w:rPr>
                <w:rFonts w:ascii="Times New Roman" w:eastAsia="Times New Roman" w:hAnsi="Times New Roman" w:hint="cs"/>
                <w:b/>
                <w:bCs/>
                <w:rtl/>
              </w:rPr>
              <w:t xml:space="preserve"> </w:t>
            </w:r>
            <w:r>
              <w:rPr>
                <w:rFonts w:ascii="Times New Roman" w:eastAsia="Times New Roman" w:hAnsi="Times New Roman" w:hint="cs"/>
                <w:rtl/>
              </w:rPr>
              <w:t>932</w:t>
            </w:r>
            <w:r>
              <w:rPr>
                <w:rFonts w:ascii="Times New Roman" w:eastAsia="Times New Roman" w:hAnsi="Times New Roman" w:hint="cs"/>
                <w:b/>
                <w:bCs/>
                <w:rtl/>
              </w:rPr>
              <w:t xml:space="preserve"> (2001)</w:t>
            </w:r>
            <w:r>
              <w:rPr>
                <w:rFonts w:ascii="Times New Roman" w:eastAsia="Times New Roman" w:hAnsi="Times New Roman" w:hint="cs"/>
                <w:rtl/>
              </w:rPr>
              <w:t>).</w:t>
            </w:r>
            <w:r>
              <w:rPr>
                <w:rFonts w:ascii="Times New Roman" w:eastAsia="Times New Roman" w:hAnsi="Times New Roman" w:hint="cs"/>
                <w:b/>
                <w:bCs/>
                <w:rtl/>
              </w:rPr>
              <w:t xml:space="preserve"> </w:t>
            </w:r>
            <w:r>
              <w:rPr>
                <w:rFonts w:hint="cs"/>
                <w:color w:val="000000"/>
                <w:rtl/>
              </w:rPr>
              <w:t xml:space="preserve">על הענישה לשקף את הפסול המוסרי שטמון בהן ואת ההוקעה והסלידה החברתית ממעשים אלה, ולהעניק ביטוי הולם לפגיעה החמורה בקטינות. עבירות מין אשר מתבצעות בחוג המשפחה פוגעות לא רק בגוף אלא גם בנפש, תוך שהן מרסקות את האמון הבסיסי במקום שאמור להיות מוגן ובטוח לקטינות נפגעות העבירה. הפגיעה אינה מצטמצמת אך לנפגעת העבירה הישירה, אלא יש לה השלכות הרסניות על המרקם המשפחתי כולו. משכך, נדרשת ענישה מחמירה בעבירות מסוג זה אשר תבטא את ההוקעה החברתית והפסול המוסרי </w:t>
            </w:r>
            <w:r>
              <w:rPr>
                <w:color w:val="000000"/>
              </w:rPr>
              <w:t>)</w:t>
            </w:r>
            <w:r>
              <w:rPr>
                <w:rFonts w:hint="cs"/>
                <w:rtl/>
              </w:rPr>
              <w:t>ע"פ 4099/22</w:t>
            </w:r>
            <w:r>
              <w:t> </w:t>
            </w:r>
            <w:r>
              <w:rPr>
                <w:rFonts w:hint="cs"/>
                <w:b/>
                <w:bCs/>
                <w:rtl/>
              </w:rPr>
              <w:t>פלוני נ' מדינת ישראל</w:t>
            </w:r>
            <w:r>
              <w:rPr>
                <w:rFonts w:hint="cs"/>
                <w:rtl/>
              </w:rPr>
              <w:t xml:space="preserve"> (6.12.22); ע"פ 3615/18</w:t>
            </w:r>
            <w:r>
              <w:t> </w:t>
            </w:r>
            <w:r>
              <w:rPr>
                <w:rFonts w:hint="cs"/>
                <w:b/>
                <w:bCs/>
                <w:rtl/>
              </w:rPr>
              <w:t>פלוני נ' מדינת ישראל</w:t>
            </w:r>
            <w:r>
              <w:t xml:space="preserve">, </w:t>
            </w:r>
            <w:r>
              <w:rPr>
                <w:rFonts w:hint="cs"/>
                <w:rtl/>
              </w:rPr>
              <w:t>פיסקה 71 (26.3.2020);ע"פ 5815/22</w:t>
            </w:r>
            <w:r>
              <w:t> </w:t>
            </w:r>
            <w:r>
              <w:rPr>
                <w:rFonts w:hint="cs"/>
                <w:b/>
                <w:bCs/>
                <w:rtl/>
              </w:rPr>
              <w:t>פלוני נ' מדינת ישראל</w:t>
            </w:r>
            <w:r>
              <w:t>,</w:t>
            </w:r>
            <w:r>
              <w:rPr>
                <w:rtl/>
              </w:rPr>
              <w:t xml:space="preserve"> </w:t>
            </w:r>
            <w:r>
              <w:rPr>
                <w:rFonts w:hint="cs"/>
                <w:rtl/>
              </w:rPr>
              <w:t>פיסקה 17 (31.05.2023); ע"פ 2783/22</w:t>
            </w:r>
            <w:r>
              <w:t> </w:t>
            </w:r>
            <w:proofErr w:type="spellStart"/>
            <w:r>
              <w:rPr>
                <w:rFonts w:hint="cs"/>
                <w:b/>
                <w:bCs/>
                <w:rtl/>
              </w:rPr>
              <w:t>דאבוש</w:t>
            </w:r>
            <w:proofErr w:type="spellEnd"/>
            <w:r>
              <w:rPr>
                <w:rFonts w:hint="cs"/>
                <w:b/>
                <w:bCs/>
                <w:rtl/>
              </w:rPr>
              <w:t xml:space="preserve"> נ' מדינת ישראל, </w:t>
            </w:r>
            <w:r>
              <w:rPr>
                <w:rFonts w:hint="cs"/>
              </w:rPr>
              <w:t xml:space="preserve"> </w:t>
            </w:r>
            <w:r>
              <w:rPr>
                <w:rFonts w:hint="cs"/>
                <w:rtl/>
              </w:rPr>
              <w:t>פיסקה 57  (12.5.2023).</w:t>
            </w:r>
            <w:r>
              <w:rPr>
                <w:color w:val="000000"/>
                <w:spacing w:val="10"/>
                <w:sz w:val="14"/>
                <w:szCs w:val="14"/>
              </w:rPr>
              <w:t> </w:t>
            </w:r>
          </w:p>
          <w:p w:rsidR="009A5FB3" w:rsidRDefault="009A5FB3" w:rsidP="009A5FB3">
            <w:pPr>
              <w:pStyle w:val="af"/>
              <w:spacing w:line="360" w:lineRule="auto"/>
              <w:ind w:left="1068"/>
              <w:jc w:val="both"/>
              <w:rPr>
                <w:rFonts w:eastAsia="Times New Roman"/>
                <w:color w:val="000000"/>
                <w:rtl/>
              </w:rPr>
            </w:pPr>
          </w:p>
          <w:p w:rsidR="009A5FB3" w:rsidRDefault="009A5FB3" w:rsidP="009A5FB3">
            <w:pPr>
              <w:pStyle w:val="a0"/>
              <w:numPr>
                <w:ilvl w:val="0"/>
                <w:numId w:val="3"/>
              </w:numPr>
              <w:tabs>
                <w:tab w:val="left" w:pos="720"/>
              </w:tabs>
              <w:jc w:val="both"/>
            </w:pPr>
            <w:r>
              <w:rPr>
                <w:rFonts w:hint="cs"/>
                <w:rtl/>
              </w:rPr>
              <w:t>רף חומרת עבירות המין במשפחה רחב ותלוי בין היתר בסוג העבירה, תדירותה, נסיבותיה, גיל הקורבן וטיב הקרבה בין הפוגע לנפגע</w:t>
            </w:r>
            <w:r>
              <w:rPr>
                <w:rFonts w:ascii="Times New Roman" w:hAnsi="Times New Roman" w:cs="Times New Roman"/>
                <w:rtl/>
              </w:rPr>
              <w:t xml:space="preserve">. </w:t>
            </w:r>
            <w:r>
              <w:rPr>
                <w:rFonts w:hint="cs"/>
                <w:rtl/>
              </w:rPr>
              <w:t xml:space="preserve">בענייננו, הנאשם והמתלוננת אחים, גדלו במשפחה נורמטיבית המונה תשעה אחים. הנאשם כבן 16-14 במועד ביצוע עבירות ניצל את גילה הצעיר של אחותו, פער הגילים ביניהם (6 שנים) ותמימותה, וביצע בה בשלוש הזדמנויות מעשי אונס. הוא נכנס לחדרה בשעת לילה, ניצל את חסות הלילה והחשכה, שכב במיטתה ובעל אותה ללא הסכמתה. במועד אחר ניסה להחדיר פעמיים את איבר מינו לפי הטבעת שלה, המעשה בוצע </w:t>
            </w:r>
            <w:proofErr w:type="spellStart"/>
            <w:r>
              <w:rPr>
                <w:rFonts w:hint="cs"/>
                <w:rtl/>
              </w:rPr>
              <w:t>בכח</w:t>
            </w:r>
            <w:proofErr w:type="spellEnd"/>
            <w:r>
              <w:rPr>
                <w:rFonts w:hint="cs"/>
                <w:rtl/>
              </w:rPr>
              <w:t xml:space="preserve"> תוך שהוא גורם לה כאב עז. את המעשים כולם ביצע בחדרה כשלצדה ישנות שלוש מאחיותיהם, התנהלות המלמדת על חוסר שליטה בדחפים מיניים, תעוזה וחוסר מורא. הנאשם הפך את אחותו קורבן לסיפוק דחפיו המיניים, תוך שהוא מתעלם מרצונותיה, ובמקרה שבו ביקשה לספר לאמה על שעשה לה, שכנע אותה לשטוף את איבר מינה ולא לספר. </w:t>
            </w:r>
          </w:p>
          <w:p w:rsidR="009A5FB3" w:rsidRDefault="009A5FB3" w:rsidP="009A5FB3">
            <w:pPr>
              <w:pStyle w:val="af"/>
              <w:rPr>
                <w:rtl/>
              </w:rPr>
            </w:pPr>
          </w:p>
          <w:p w:rsidR="009A5FB3" w:rsidRDefault="009A5FB3" w:rsidP="009A5FB3">
            <w:pPr>
              <w:numPr>
                <w:ilvl w:val="0"/>
                <w:numId w:val="3"/>
              </w:numPr>
              <w:spacing w:after="120" w:line="360" w:lineRule="auto"/>
              <w:jc w:val="both"/>
              <w:rPr>
                <w:color w:val="000000"/>
              </w:rPr>
            </w:pPr>
            <w:r>
              <w:rPr>
                <w:color w:val="000000"/>
                <w:rtl/>
              </w:rPr>
              <w:t>הנאשם הסב לאחותו נזק רב בכל מישורי חייה, על אף כוחות הנפש שמפגינה היא שרויה בדיכאון, הרבתה להעדר מבית הספר וסובלת ממורכבות רגשית. הנזק הנפשי והרגשי שנגרם למתלוננת מביצוע העבירות משמעותי ורב. "</w:t>
            </w:r>
            <w:r>
              <w:rPr>
                <w:b/>
                <w:bCs/>
                <w:color w:val="000000"/>
                <w:rtl/>
              </w:rPr>
              <w:t xml:space="preserve">את היקפו של זה לא יידע איש לאמוד, אך זאת נדע כולנו – כי מעשים אלה צורבים כברזל </w:t>
            </w:r>
            <w:r>
              <w:rPr>
                <w:b/>
                <w:bCs/>
                <w:color w:val="000000"/>
                <w:rtl/>
              </w:rPr>
              <w:lastRenderedPageBreak/>
              <w:t>מלובן נפשו של ילד ומותירים צלקות שלעולם לא תימחינה</w:t>
            </w:r>
            <w:r>
              <w:rPr>
                <w:color w:val="000000"/>
                <w:rtl/>
              </w:rPr>
              <w:t xml:space="preserve">" (דברי כב' השופטת ארבל בע"פ 10673/04 </w:t>
            </w:r>
            <w:r>
              <w:rPr>
                <w:b/>
                <w:bCs/>
                <w:color w:val="000000"/>
                <w:rtl/>
              </w:rPr>
              <w:t>פלוני נ' מדינת ישראל</w:t>
            </w:r>
            <w:r>
              <w:rPr>
                <w:color w:val="000000"/>
                <w:rtl/>
              </w:rPr>
              <w:t xml:space="preserve"> (01.06.2008)). מעשי הנאשם זעזעו את משפחתו וטלטלו את עולמם של הוריו.  </w:t>
            </w:r>
          </w:p>
          <w:p w:rsidR="009A5FB3" w:rsidRDefault="009A5FB3" w:rsidP="009A5FB3">
            <w:pPr>
              <w:pStyle w:val="af"/>
              <w:rPr>
                <w:rFonts w:eastAsia="Times New Roman"/>
                <w:color w:val="000000"/>
                <w:rtl/>
              </w:rPr>
            </w:pPr>
          </w:p>
          <w:p w:rsidR="009A5FB3" w:rsidRPr="00613BE4" w:rsidRDefault="009A5FB3" w:rsidP="009A5FB3">
            <w:pPr>
              <w:pStyle w:val="af0"/>
              <w:rPr>
                <w:rFonts w:ascii="David" w:hAnsi="David"/>
              </w:rPr>
            </w:pPr>
            <w:r w:rsidRPr="00613BE4">
              <w:rPr>
                <w:rFonts w:ascii="David" w:hAnsi="David"/>
                <w:rtl/>
              </w:rPr>
              <w:t>השפעת היותו של הנאשם קטין בעת ביצוע העבירה על קביעת המתחם</w:t>
            </w:r>
          </w:p>
          <w:p w:rsidR="009A5FB3" w:rsidRPr="00613BE4" w:rsidRDefault="009A5FB3" w:rsidP="009A5FB3">
            <w:pPr>
              <w:pStyle w:val="a0"/>
              <w:numPr>
                <w:ilvl w:val="0"/>
                <w:numId w:val="3"/>
              </w:numPr>
              <w:tabs>
                <w:tab w:val="left" w:pos="720"/>
              </w:tabs>
              <w:jc w:val="both"/>
              <w:rPr>
                <w:rStyle w:val="default"/>
                <w:rFonts w:ascii="David" w:eastAsia="Calibri" w:hAnsi="David" w:cs="David"/>
                <w:sz w:val="24"/>
                <w:szCs w:val="24"/>
                <w:rtl/>
              </w:rPr>
            </w:pPr>
            <w:r w:rsidRPr="00613BE4">
              <w:rPr>
                <w:rStyle w:val="default"/>
                <w:rFonts w:ascii="David" w:eastAsia="Calibri" w:hAnsi="David" w:cs="David"/>
                <w:sz w:val="24"/>
                <w:szCs w:val="24"/>
                <w:rtl/>
              </w:rPr>
              <w:t xml:space="preserve">הנאשם היה קטין בגילאי 16-14 בעת ביצוע העבירות, כתב האישום הוגש נגדו לאחר שמלאו לו 19 שנים, משכך חל בעניינו סעיף 5א(ב) לחוק הנוער (שפיטה, ענישה ודרכי טיפול), תשל"א-1971 (להלן: </w:t>
            </w:r>
            <w:r w:rsidRPr="00613BE4">
              <w:rPr>
                <w:rStyle w:val="default"/>
                <w:rFonts w:ascii="David" w:eastAsia="Calibri" w:hAnsi="David" w:cs="David"/>
                <w:b/>
                <w:bCs/>
                <w:sz w:val="24"/>
                <w:szCs w:val="24"/>
                <w:rtl/>
              </w:rPr>
              <w:t>חוק הנוער</w:t>
            </w:r>
            <w:r w:rsidRPr="00613BE4">
              <w:rPr>
                <w:rStyle w:val="default"/>
                <w:rFonts w:ascii="David" w:eastAsia="Calibri" w:hAnsi="David" w:cs="David"/>
                <w:sz w:val="24"/>
                <w:szCs w:val="24"/>
                <w:rtl/>
              </w:rPr>
              <w:t>), אשר קובע כי "</w:t>
            </w:r>
            <w:r w:rsidRPr="00613BE4">
              <w:rPr>
                <w:rtl/>
              </w:rPr>
              <w:t xml:space="preserve">הדיון בעניינו של נאשם שביום הגשת כתב האישום נגדו מלאו לו 19 שנים וביום ביצוע העבירה היה קטין, יהיה בפני בית משפט שאינו לנוער", ואולם הוראות סעיפים שונים מחוק הנוער </w:t>
            </w:r>
            <w:r w:rsidRPr="00613BE4">
              <w:rPr>
                <w:rStyle w:val="default"/>
                <w:rFonts w:ascii="David" w:eastAsia="Calibri" w:hAnsi="David" w:cs="David"/>
                <w:sz w:val="24"/>
                <w:szCs w:val="24"/>
                <w:rtl/>
              </w:rPr>
              <w:t>ובכללם סעיפים הנוגעים לענישה ודרכי טיפול, יחולו, בשינויים המחויבים.</w:t>
            </w:r>
          </w:p>
          <w:p w:rsidR="009A5FB3" w:rsidRPr="00613BE4" w:rsidRDefault="009A5FB3" w:rsidP="009A5FB3">
            <w:pPr>
              <w:pStyle w:val="a0"/>
              <w:numPr>
                <w:ilvl w:val="0"/>
                <w:numId w:val="3"/>
              </w:numPr>
              <w:tabs>
                <w:tab w:val="left" w:pos="720"/>
              </w:tabs>
              <w:jc w:val="both"/>
            </w:pPr>
            <w:r w:rsidRPr="00613BE4">
              <w:rPr>
                <w:rtl/>
              </w:rPr>
              <w:t xml:space="preserve">היות הנאשם קטין בעת ביצוע העבירות מחייב לקבוע מתחם עונש נמוך באופן משמעותי ביחס למתחם לנאשם שביצע את העבירות בהיותו בגיר, וזאת נוכח מידת אשמו הנמוכה יותר של מי שהיה קטין, בין היתר בשל היעדר ניסיון חיים, העדר בשלות ונטייה </w:t>
            </w:r>
            <w:r w:rsidRPr="00613BE4">
              <w:rPr>
                <w:rStyle w:val="default"/>
                <w:rFonts w:ascii="David" w:eastAsia="Calibri" w:hAnsi="David" w:cs="David"/>
                <w:sz w:val="24"/>
                <w:szCs w:val="24"/>
                <w:rtl/>
              </w:rPr>
              <w:t>להתנהגות</w:t>
            </w:r>
            <w:r w:rsidRPr="00613BE4">
              <w:rPr>
                <w:rtl/>
              </w:rPr>
              <w:t xml:space="preserve"> פחות אחראית. קטינות משפיעה על "יכולתו של הנאשם להבין את אשר הוא עושה, את הפסול במעשהו או את משמעות מעשהו" נסיבה הקשורה בביצוע העבירה המשפיעה על קביעת מתחם העונש כאמור בסעיף 40ט(6) לחוק (דברי כב' השופטת ע' ברון בע"פ 5725/15 </w:t>
            </w:r>
            <w:r w:rsidRPr="00613BE4">
              <w:rPr>
                <w:b/>
                <w:bCs/>
                <w:rtl/>
              </w:rPr>
              <w:t>פלוני נ' מדינת ישראל</w:t>
            </w:r>
            <w:r w:rsidRPr="00613BE4">
              <w:rPr>
                <w:rtl/>
              </w:rPr>
              <w:t xml:space="preserve"> (4.8.2016) וראו גם ע"פ 7416/15 </w:t>
            </w:r>
            <w:r w:rsidRPr="00613BE4">
              <w:rPr>
                <w:b/>
                <w:bCs/>
                <w:rtl/>
              </w:rPr>
              <w:t>פלוני נ' מדינת ישראל</w:t>
            </w:r>
            <w:r w:rsidRPr="00613BE4">
              <w:rPr>
                <w:rtl/>
              </w:rPr>
              <w:t xml:space="preserve"> (22.5.2016)).  </w:t>
            </w:r>
          </w:p>
          <w:p w:rsidR="009A5FB3" w:rsidRPr="00613BE4" w:rsidRDefault="009A5FB3" w:rsidP="009A5FB3">
            <w:pPr>
              <w:pStyle w:val="a0"/>
              <w:numPr>
                <w:ilvl w:val="0"/>
                <w:numId w:val="3"/>
              </w:numPr>
              <w:tabs>
                <w:tab w:val="left" w:pos="720"/>
              </w:tabs>
              <w:jc w:val="both"/>
            </w:pPr>
            <w:r w:rsidRPr="00613BE4">
              <w:rPr>
                <w:rtl/>
              </w:rPr>
              <w:t xml:space="preserve">חוק הנוער מדגיש את שיקול השיקום כשיקול הדומיננטי בגזירת עונשם של קטינים. בפסיקה נקבע כי בגזירת עונשו של קטין יש להקנות משקל יתר לנסיבותיו האישיות ולסיכויי שיקומו (ראו: ע"פ 3203/13 </w:t>
            </w:r>
            <w:r w:rsidRPr="00613BE4">
              <w:rPr>
                <w:b/>
                <w:bCs/>
                <w:rtl/>
              </w:rPr>
              <w:t xml:space="preserve">מדינת ישראל נ' פלוני </w:t>
            </w:r>
            <w:r w:rsidRPr="00613BE4">
              <w:rPr>
                <w:rtl/>
              </w:rPr>
              <w:t xml:space="preserve">(20.11.2013)). עם זאת, הודגש כי קטינות אינה מקנה חסינות מפני ענישה פלילית, ואף לא מגזירת עונשי מאסר בפועל. לצד משקל היתר שניתן לנסיבות האינדיבידואליות ולשיקולי השיקום, יש להעניק משקל הולם גם לשיקולי ההרתעה והגמול בהתחשב בנסיבות העבירה (ראו: ע"פ 5355/14 </w:t>
            </w:r>
            <w:r w:rsidRPr="00613BE4">
              <w:rPr>
                <w:b/>
                <w:bCs/>
                <w:rtl/>
              </w:rPr>
              <w:t>פלוני נ' מדינת ישראל</w:t>
            </w:r>
            <w:r w:rsidRPr="00613BE4">
              <w:rPr>
                <w:rtl/>
              </w:rPr>
              <w:t xml:space="preserve"> (27.10.2015); ע"פ 324/19 </w:t>
            </w:r>
            <w:r w:rsidRPr="00613BE4">
              <w:rPr>
                <w:b/>
                <w:bCs/>
                <w:rtl/>
              </w:rPr>
              <w:t>פלוני נ' מדינת ישראל</w:t>
            </w:r>
            <w:r w:rsidRPr="00613BE4">
              <w:rPr>
                <w:rtl/>
              </w:rPr>
              <w:t xml:space="preserve"> (8.5.2019)).</w:t>
            </w:r>
          </w:p>
          <w:p w:rsidR="009A5FB3" w:rsidRPr="00613BE4" w:rsidRDefault="009A5FB3" w:rsidP="009A5FB3">
            <w:pPr>
              <w:pStyle w:val="a0"/>
              <w:numPr>
                <w:ilvl w:val="0"/>
                <w:numId w:val="0"/>
              </w:numPr>
              <w:tabs>
                <w:tab w:val="left" w:pos="720"/>
              </w:tabs>
              <w:ind w:left="1068"/>
              <w:jc w:val="both"/>
              <w:rPr>
                <w:rStyle w:val="default"/>
                <w:rFonts w:ascii="David" w:eastAsia="Calibri" w:hAnsi="David" w:cs="David"/>
                <w:sz w:val="24"/>
                <w:szCs w:val="24"/>
              </w:rPr>
            </w:pPr>
            <w:r>
              <w:rPr>
                <w:rFonts w:hint="cs"/>
                <w:rtl/>
                <w:lang w:eastAsia="he-IL"/>
              </w:rPr>
              <w:t xml:space="preserve">במקרה זה הנאשם ביצע את העבירות בהיותו בן 16-14, גיל צעיר מאד לכל הדעות, הרחק מגיל בגירות. </w:t>
            </w:r>
            <w:r>
              <w:rPr>
                <w:rFonts w:hint="cs"/>
                <w:rtl/>
              </w:rPr>
              <w:t xml:space="preserve">לא בכדי מצא המחוקק </w:t>
            </w:r>
            <w:proofErr w:type="spellStart"/>
            <w:r>
              <w:rPr>
                <w:rFonts w:hint="cs"/>
                <w:rtl/>
              </w:rPr>
              <w:t>להחריג</w:t>
            </w:r>
            <w:proofErr w:type="spellEnd"/>
            <w:r>
              <w:rPr>
                <w:rFonts w:hint="cs"/>
                <w:rtl/>
              </w:rPr>
              <w:t xml:space="preserve"> מסעיף 351 לחוק המחמיר בעונשם של נאשמים שפגעו מינית בבני משפחה, קטינים בני משפחה מתחת לגיל 15 (סעיף 351(ה) לחוק). ללמדנו שאף המחוקק סבר כי מדובר בקטין צעיר מאד שרמת אשמו ויכולתו להבין את מעשיו פחותים. כעולה מחוות דעת הערכת המסוכנות, הרקע לביצוע </w:t>
            </w:r>
            <w:r w:rsidRPr="00613BE4">
              <w:rPr>
                <w:rtl/>
              </w:rPr>
              <w:t>העבירות נבע משילוב של עיוותי חשיבה וחוסר בשלות אישית נוכח גילו הצעיר של הנאשם והעדר הכוונה</w:t>
            </w:r>
            <w:r w:rsidRPr="00613BE4">
              <w:rPr>
                <w:rtl/>
                <w:lang w:eastAsia="he-IL"/>
              </w:rPr>
              <w:t xml:space="preserve">. </w:t>
            </w:r>
            <w:r w:rsidRPr="00613BE4">
              <w:rPr>
                <w:rtl/>
              </w:rPr>
              <w:t xml:space="preserve">עם זאת במקרה שבפנינו המשיך הנאשם לבצע את מעשיו גם לאחר שמלאו לו 15. </w:t>
            </w:r>
            <w:r w:rsidRPr="00613BE4">
              <w:rPr>
                <w:rtl/>
                <w:lang w:eastAsia="he-IL"/>
              </w:rPr>
              <w:t xml:space="preserve">בהתאם לכך יינתן משקל ממשי לגיל הנאשם במועד ביצוע העבירות בקביעת מתחם הענישה </w:t>
            </w:r>
            <w:r w:rsidRPr="00613BE4">
              <w:rPr>
                <w:rStyle w:val="default"/>
                <w:rFonts w:ascii="David" w:eastAsia="Calibri" w:hAnsi="David" w:cs="David"/>
                <w:sz w:val="24"/>
                <w:szCs w:val="24"/>
                <w:rtl/>
              </w:rPr>
              <w:t xml:space="preserve">אך לא באותה מידה כפי שהיה אילו היה נדון כקטין בבית משפט לנוער. </w:t>
            </w:r>
          </w:p>
          <w:p w:rsidR="009A5FB3" w:rsidRPr="00613BE4" w:rsidRDefault="009A5FB3" w:rsidP="009A5FB3">
            <w:pPr>
              <w:pStyle w:val="a0"/>
              <w:numPr>
                <w:ilvl w:val="0"/>
                <w:numId w:val="3"/>
              </w:numPr>
              <w:tabs>
                <w:tab w:val="left" w:pos="720"/>
              </w:tabs>
              <w:jc w:val="both"/>
            </w:pPr>
            <w:r w:rsidRPr="00613BE4">
              <w:rPr>
                <w:rtl/>
              </w:rPr>
              <w:t xml:space="preserve">בחינת </w:t>
            </w:r>
            <w:r w:rsidRPr="00613BE4">
              <w:rPr>
                <w:b/>
                <w:bCs/>
                <w:rtl/>
              </w:rPr>
              <w:t xml:space="preserve">מידת פגיעת מעשי הנאשם בערכים המוגנים </w:t>
            </w:r>
            <w:r w:rsidRPr="00613BE4">
              <w:rPr>
                <w:rtl/>
              </w:rPr>
              <w:t xml:space="preserve">מובילה למסקנה כי </w:t>
            </w:r>
            <w:r w:rsidRPr="00613BE4">
              <w:rPr>
                <w:b/>
                <w:bCs/>
                <w:rtl/>
              </w:rPr>
              <w:t>היא ברף גבוה</w:t>
            </w:r>
            <w:r w:rsidRPr="00613BE4">
              <w:rPr>
                <w:rtl/>
              </w:rPr>
              <w:t xml:space="preserve">. בהקשר זה נתנו דעתנו לחומרת המעשים ומִשכם, פער הגילים, ניצול האמון ותמימותה של המתלוננת, שימוש </w:t>
            </w:r>
            <w:proofErr w:type="spellStart"/>
            <w:r w:rsidRPr="00613BE4">
              <w:rPr>
                <w:rtl/>
              </w:rPr>
              <w:t>בכח</w:t>
            </w:r>
            <w:proofErr w:type="spellEnd"/>
            <w:r w:rsidRPr="00613BE4">
              <w:rPr>
                <w:rtl/>
              </w:rPr>
              <w:t xml:space="preserve"> במסגרת </w:t>
            </w:r>
            <w:r w:rsidRPr="00613BE4">
              <w:rPr>
                <w:rtl/>
              </w:rPr>
              <w:lastRenderedPageBreak/>
              <w:t>האישום השני והנזק הממשי שנגרם לה. מנגד התחשבנו בגילו הצעיר של הנאשם במועד ביצוע העבירות, בחלקו מתחת לגיל 15.</w:t>
            </w:r>
          </w:p>
          <w:p w:rsidR="009A5FB3" w:rsidRPr="00613BE4" w:rsidRDefault="009A5FB3" w:rsidP="009A5FB3">
            <w:pPr>
              <w:spacing w:line="360" w:lineRule="auto"/>
              <w:ind w:left="1068"/>
              <w:jc w:val="both"/>
              <w:rPr>
                <w:rFonts w:ascii="David" w:hAnsi="David"/>
                <w:color w:val="000000"/>
                <w:rtl/>
              </w:rPr>
            </w:pPr>
          </w:p>
          <w:p w:rsidR="009A5FB3" w:rsidRDefault="009A5FB3" w:rsidP="009A5FB3">
            <w:pPr>
              <w:spacing w:line="360" w:lineRule="auto"/>
              <w:ind w:left="720" w:firstLine="348"/>
              <w:jc w:val="both"/>
              <w:rPr>
                <w:b/>
                <w:bCs/>
                <w:color w:val="000000"/>
                <w:u w:val="single"/>
              </w:rPr>
            </w:pPr>
            <w:r>
              <w:rPr>
                <w:b/>
                <w:bCs/>
                <w:color w:val="000000"/>
                <w:u w:val="single"/>
                <w:rtl/>
              </w:rPr>
              <w:t>מדינת הענישה הנוהגת</w:t>
            </w:r>
          </w:p>
          <w:p w:rsidR="009A5FB3" w:rsidRDefault="009A5FB3" w:rsidP="009A5FB3">
            <w:pPr>
              <w:numPr>
                <w:ilvl w:val="0"/>
                <w:numId w:val="3"/>
              </w:numPr>
              <w:spacing w:line="360" w:lineRule="auto"/>
              <w:jc w:val="both"/>
              <w:rPr>
                <w:rFonts w:ascii="David" w:hAnsi="David"/>
                <w:color w:val="000000"/>
                <w:rtl/>
              </w:rPr>
            </w:pPr>
            <w:r>
              <w:rPr>
                <w:color w:val="000000"/>
                <w:rtl/>
              </w:rPr>
              <w:t xml:space="preserve">רמת הענישה שהתוותה הפסיקה בעבירות מין בקטינים בגדרי התא המשפחתי קשה ומחמירה (ע"פ 5832/20 </w:t>
            </w:r>
            <w:r>
              <w:rPr>
                <w:b/>
                <w:bCs/>
                <w:color w:val="000000"/>
                <w:rtl/>
              </w:rPr>
              <w:t>פלוני נ' מדינת ישראל</w:t>
            </w:r>
            <w:r>
              <w:rPr>
                <w:color w:val="000000"/>
                <w:rtl/>
              </w:rPr>
              <w:t xml:space="preserve"> (22.8.21); ע"פ 2032/19 </w:t>
            </w:r>
            <w:r>
              <w:rPr>
                <w:b/>
                <w:bCs/>
                <w:color w:val="000000"/>
                <w:rtl/>
              </w:rPr>
              <w:t>פלוני נ' מדינת</w:t>
            </w:r>
            <w:r>
              <w:rPr>
                <w:color w:val="000000"/>
                <w:rtl/>
              </w:rPr>
              <w:t xml:space="preserve"> </w:t>
            </w:r>
            <w:r>
              <w:rPr>
                <w:b/>
                <w:bCs/>
                <w:color w:val="000000"/>
                <w:rtl/>
              </w:rPr>
              <w:t>ישראל</w:t>
            </w:r>
            <w:r>
              <w:rPr>
                <w:color w:val="000000"/>
                <w:rtl/>
              </w:rPr>
              <w:t xml:space="preserve"> (14.6.20). מדיניות מחמירה זו לא פסחה גם על נאשמים שביצעו את המעשים בעודם קטינים, "</w:t>
            </w:r>
            <w:r>
              <w:rPr>
                <w:b/>
                <w:bCs/>
                <w:color w:val="000000"/>
                <w:rtl/>
              </w:rPr>
              <w:t>ענישה זו אמורה לבטא סלידה עמוקה והוקעה חברתית, לזעוק את זעקת הקורבנות, לייצר תיקון מוסרי – ובעיקר לבודד ולהרתיע עבריינים פוטנציאלים, בפרט אלה הפוגעים בקטינים בתוך המשפחה</w:t>
            </w:r>
            <w:r>
              <w:rPr>
                <w:color w:val="000000"/>
                <w:rtl/>
              </w:rPr>
              <w:t xml:space="preserve">" (ע"פ 5617/19 </w:t>
            </w:r>
            <w:r>
              <w:rPr>
                <w:b/>
                <w:bCs/>
                <w:color w:val="000000"/>
                <w:rtl/>
              </w:rPr>
              <w:t>מדינת ישראל נ' פלוני</w:t>
            </w:r>
            <w:r>
              <w:rPr>
                <w:color w:val="000000"/>
                <w:rtl/>
              </w:rPr>
              <w:t>, פסקה 26  (26.8.21). הנאשם הורשע כאמור בשני מעשי אונס בקטינה טרם מלאו לו 15 בהתאם לסעיף 345(ב)(1) בנסיבות 345(א)(1) לחוק, שהעונש המרבי שנקבע לצידן הוא עשרים שנות מאסר, בנוסף הורשע באינוס בת משפחה מתחת לגיל 16, שביצע מעל גיל 15, לפי סעיף 351(א) בנסיבות 345 (א)(1) שאף בצדו נקבע עונש מרבי זהה ובעבירה של ניסיון למעשה סדום. נוכח קטינותו של הנאשם במועדי ביצוע העבירות לא חל עליו עונש המינימום שנקבע בסעיף 355 לחוק (ראו סעיף 25(ב) לחוק הנוער).</w:t>
            </w:r>
          </w:p>
          <w:p w:rsidR="009A5FB3" w:rsidRDefault="009A5FB3" w:rsidP="009A5FB3">
            <w:pPr>
              <w:spacing w:line="360" w:lineRule="auto"/>
              <w:ind w:left="1068"/>
              <w:jc w:val="both"/>
              <w:rPr>
                <w:color w:val="000000"/>
              </w:rPr>
            </w:pPr>
          </w:p>
          <w:p w:rsidR="009A5FB3" w:rsidRPr="00613BE4" w:rsidRDefault="009A5FB3" w:rsidP="009A5FB3">
            <w:pPr>
              <w:pStyle w:val="a0"/>
              <w:numPr>
                <w:ilvl w:val="0"/>
                <w:numId w:val="3"/>
              </w:numPr>
              <w:tabs>
                <w:tab w:val="left" w:pos="720"/>
              </w:tabs>
              <w:jc w:val="both"/>
            </w:pPr>
            <w:r w:rsidRPr="00613BE4">
              <w:rPr>
                <w:rtl/>
              </w:rPr>
              <w:t xml:space="preserve">בחינת </w:t>
            </w:r>
            <w:r w:rsidRPr="00613BE4">
              <w:rPr>
                <w:b/>
                <w:bCs/>
                <w:rtl/>
              </w:rPr>
              <w:t>מדיניות הענישה הנוהגת</w:t>
            </w:r>
            <w:r w:rsidRPr="00613BE4">
              <w:rPr>
                <w:rtl/>
              </w:rPr>
              <w:t xml:space="preserve"> מעלה כי במקרים דומים הוטלו על נאשמים שנדונו כקטינים עונשי מאסר בפועל במנעד רחב, תוך מתן משקל משמעותי, במקרים המתאימים, לשיקולי שיקום: </w:t>
            </w:r>
          </w:p>
          <w:p w:rsidR="009A5FB3" w:rsidRPr="00613BE4" w:rsidRDefault="009A5FB3" w:rsidP="009A5FB3">
            <w:pPr>
              <w:pStyle w:val="a"/>
              <w:numPr>
                <w:ilvl w:val="1"/>
                <w:numId w:val="4"/>
              </w:numPr>
              <w:tabs>
                <w:tab w:val="left" w:pos="720"/>
              </w:tabs>
              <w:ind w:right="0"/>
              <w:jc w:val="both"/>
              <w:rPr>
                <w:rStyle w:val="default"/>
                <w:rFonts w:ascii="David" w:eastAsia="Calibri" w:hAnsi="David" w:cs="David"/>
                <w:sz w:val="24"/>
                <w:szCs w:val="24"/>
              </w:rPr>
            </w:pPr>
            <w:r w:rsidRPr="00613BE4">
              <w:rPr>
                <w:rStyle w:val="default"/>
                <w:rFonts w:ascii="David" w:eastAsia="Calibri" w:hAnsi="David" w:cs="David"/>
                <w:sz w:val="24"/>
                <w:szCs w:val="24"/>
                <w:rtl/>
              </w:rPr>
              <w:t xml:space="preserve">בע"פ 5363/15 </w:t>
            </w:r>
            <w:r w:rsidRPr="00613BE4">
              <w:rPr>
                <w:rStyle w:val="default"/>
                <w:rFonts w:ascii="David" w:eastAsia="Calibri" w:hAnsi="David" w:cs="David"/>
                <w:b/>
                <w:bCs/>
                <w:sz w:val="24"/>
                <w:szCs w:val="24"/>
                <w:rtl/>
              </w:rPr>
              <w:t>פלוני נ' מדינת ישראל</w:t>
            </w:r>
            <w:r w:rsidRPr="00613BE4">
              <w:rPr>
                <w:rStyle w:val="default"/>
                <w:rFonts w:ascii="David" w:eastAsia="Calibri" w:hAnsi="David" w:cs="David"/>
                <w:sz w:val="24"/>
                <w:szCs w:val="24"/>
                <w:rtl/>
              </w:rPr>
              <w:t xml:space="preserve"> (11.5.16), קיבל בית המשפט העליון ערעורו של נאשם אשר הורשע לאחר ניהול הוכחות בעבירות של אינוס ומעשים מגונים באחותו הקטינה בנסיבות קשות. הנאשם ביצע מעשי אינוס ומעשים מגונים באחותו מאז היותו בגיל 11 ועד 15 </w:t>
            </w:r>
            <w:proofErr w:type="spellStart"/>
            <w:r w:rsidRPr="00613BE4">
              <w:rPr>
                <w:rStyle w:val="default"/>
                <w:rFonts w:ascii="David" w:eastAsia="Calibri" w:hAnsi="David" w:cs="David"/>
                <w:sz w:val="24"/>
                <w:szCs w:val="24"/>
                <w:rtl/>
              </w:rPr>
              <w:t>ווהיא</w:t>
            </w:r>
            <w:proofErr w:type="spellEnd"/>
            <w:r w:rsidRPr="00613BE4">
              <w:rPr>
                <w:rStyle w:val="default"/>
                <w:rFonts w:ascii="David" w:eastAsia="Calibri" w:hAnsi="David" w:cs="David"/>
                <w:sz w:val="24"/>
                <w:szCs w:val="24"/>
                <w:rtl/>
              </w:rPr>
              <w:t xml:space="preserve"> בת 13-8. בנוסף הורשע בעבירות איומים ותקיפה של המתלוננת. הנאשם </w:t>
            </w:r>
            <w:r w:rsidRPr="00613BE4">
              <w:rPr>
                <w:rStyle w:val="default"/>
                <w:rFonts w:ascii="David" w:eastAsia="Calibri" w:hAnsi="David" w:cs="David"/>
                <w:b/>
                <w:bCs/>
                <w:sz w:val="24"/>
                <w:szCs w:val="24"/>
                <w:rtl/>
              </w:rPr>
              <w:t>נדון כבגיר</w:t>
            </w:r>
            <w:r w:rsidRPr="00613BE4">
              <w:rPr>
                <w:rStyle w:val="default"/>
                <w:rFonts w:ascii="David" w:eastAsia="Calibri" w:hAnsi="David" w:cs="David"/>
                <w:sz w:val="24"/>
                <w:szCs w:val="24"/>
                <w:rtl/>
              </w:rPr>
              <w:t xml:space="preserve"> בשנות העשרים לחייו, ללא עבר פלילי, לעונש של 7 שנות מאסר בפועל. בית המשפט העליון מצא את מעשי המערער קשים ומעוררים שאט נפש וסלידה, עוד נתן דעתו לפגיעה הקשה באחותו קורבן העבירה, שטרם הצליחה להשתקם מן האירועים הקשים ומשפחתה מתנכרת לה. עם זאת נוכח גילו הצעיר של המערער (חלק מהמעשים בוצעו מתחת לגיל האחריות הפלילית), תנאי ההזנחה שבהם גדל והתייצבות אורח חייו הקל בעונשו ל-5.5 שנות מאסר בפועל. </w:t>
            </w:r>
          </w:p>
          <w:p w:rsidR="009A5FB3" w:rsidRPr="00613BE4" w:rsidRDefault="009A5FB3" w:rsidP="009A5FB3">
            <w:pPr>
              <w:pStyle w:val="a"/>
              <w:numPr>
                <w:ilvl w:val="1"/>
                <w:numId w:val="4"/>
              </w:numPr>
              <w:tabs>
                <w:tab w:val="left" w:pos="720"/>
              </w:tabs>
              <w:ind w:right="0"/>
              <w:jc w:val="both"/>
              <w:rPr>
                <w:rStyle w:val="default"/>
                <w:rFonts w:ascii="David" w:eastAsia="Calibri" w:hAnsi="David" w:cs="David"/>
                <w:sz w:val="24"/>
                <w:szCs w:val="24"/>
              </w:rPr>
            </w:pPr>
            <w:r w:rsidRPr="00613BE4">
              <w:rPr>
                <w:rStyle w:val="default"/>
                <w:rFonts w:ascii="David" w:eastAsia="Calibri" w:hAnsi="David" w:cs="David"/>
                <w:sz w:val="24"/>
                <w:szCs w:val="24"/>
                <w:rtl/>
              </w:rPr>
              <w:t xml:space="preserve">בע"פ 1128/18 </w:t>
            </w:r>
            <w:r w:rsidRPr="00613BE4">
              <w:rPr>
                <w:rStyle w:val="default"/>
                <w:rFonts w:ascii="David" w:eastAsia="Calibri" w:hAnsi="David" w:cs="David"/>
                <w:b/>
                <w:bCs/>
                <w:sz w:val="24"/>
                <w:szCs w:val="24"/>
                <w:rtl/>
              </w:rPr>
              <w:t>פלוני נ' מדינת ישראל</w:t>
            </w:r>
            <w:r w:rsidRPr="00613BE4">
              <w:rPr>
                <w:rStyle w:val="default"/>
                <w:rFonts w:ascii="David" w:eastAsia="Calibri" w:hAnsi="David" w:cs="David"/>
                <w:sz w:val="24"/>
                <w:szCs w:val="24"/>
                <w:rtl/>
              </w:rPr>
              <w:t xml:space="preserve"> (11.11.18), קיבל בית המשפט העליון ערעור נאשם אשר הורשע לאחר ניהול הוכחות בעבירות של בעילת קטינה בת משפחה ושתי עבירות של מעשה מגונה בקטינה בת משפחה. הנאשם אשר היה קטין בן 16 פגע באחותו הצעירה ממנו בשנתיים בכך שנכנס לחדר האמבטיה בעת שהמתלוננת התקלחה, פשט את בגדיו והחדיר את איבר מינו לאיבר מינה. בשני מקרים חיכך את איבר מינו באיבר מינה מעל לבגדיה. הנאשם </w:t>
            </w:r>
            <w:r w:rsidRPr="00613BE4">
              <w:rPr>
                <w:rStyle w:val="default"/>
                <w:rFonts w:ascii="David" w:eastAsia="Calibri" w:hAnsi="David" w:cs="David"/>
                <w:b/>
                <w:bCs/>
                <w:sz w:val="24"/>
                <w:szCs w:val="24"/>
                <w:rtl/>
              </w:rPr>
              <w:t>נדון כבגיר</w:t>
            </w:r>
            <w:r w:rsidRPr="00613BE4">
              <w:rPr>
                <w:rStyle w:val="default"/>
                <w:rFonts w:ascii="David" w:eastAsia="Calibri" w:hAnsi="David" w:cs="David"/>
                <w:sz w:val="24"/>
                <w:szCs w:val="24"/>
                <w:rtl/>
              </w:rPr>
              <w:t xml:space="preserve">. בית המשפט קבע מתחם עונש הנע בין 3 ל-5 שנות מאסר בפועל. הנאשם בן 35, ללא עבר פלילי, נדון לעונש של 4 שנות מאסר בפועל. בית המשפט העליון נתן </w:t>
            </w:r>
            <w:r w:rsidRPr="00613BE4">
              <w:rPr>
                <w:rStyle w:val="default"/>
                <w:rFonts w:ascii="David" w:eastAsia="Calibri" w:hAnsi="David" w:cs="David"/>
                <w:sz w:val="24"/>
                <w:szCs w:val="24"/>
                <w:rtl/>
              </w:rPr>
              <w:lastRenderedPageBreak/>
              <w:t>דעתו להיותו של הנאשם קטין בעת ביצוע העבירות ולחלוף הזמן והחליט להקל בעונשו, ולאחר שהנאשם ריצה למעלה משלושה רבעים מעונש המאסר, הסתפק בתקופה המאסר שנשא.</w:t>
            </w:r>
          </w:p>
          <w:p w:rsidR="009A5FB3" w:rsidRPr="00613BE4" w:rsidRDefault="009A5FB3" w:rsidP="009A5FB3">
            <w:pPr>
              <w:pStyle w:val="a"/>
              <w:numPr>
                <w:ilvl w:val="1"/>
                <w:numId w:val="4"/>
              </w:numPr>
              <w:tabs>
                <w:tab w:val="left" w:pos="720"/>
              </w:tabs>
              <w:ind w:right="0"/>
              <w:jc w:val="both"/>
              <w:rPr>
                <w:rStyle w:val="default"/>
                <w:rFonts w:ascii="David" w:eastAsia="Calibri" w:hAnsi="David" w:cs="David"/>
                <w:sz w:val="24"/>
                <w:szCs w:val="24"/>
              </w:rPr>
            </w:pPr>
            <w:r w:rsidRPr="00613BE4">
              <w:rPr>
                <w:rStyle w:val="default"/>
                <w:rFonts w:ascii="David" w:eastAsia="Calibri" w:hAnsi="David" w:cs="David"/>
                <w:sz w:val="24"/>
                <w:szCs w:val="24"/>
                <w:rtl/>
              </w:rPr>
              <w:t xml:space="preserve">בע"פ 5962/11 </w:t>
            </w:r>
            <w:r w:rsidRPr="00613BE4">
              <w:rPr>
                <w:rStyle w:val="default"/>
                <w:rFonts w:ascii="David" w:eastAsia="Calibri" w:hAnsi="David" w:cs="David"/>
                <w:b/>
                <w:bCs/>
                <w:sz w:val="24"/>
                <w:szCs w:val="24"/>
                <w:rtl/>
              </w:rPr>
              <w:t>פלוני נ' מדינת ישראל</w:t>
            </w:r>
            <w:r w:rsidRPr="00613BE4">
              <w:rPr>
                <w:rStyle w:val="default"/>
                <w:rFonts w:ascii="David" w:eastAsia="Calibri" w:hAnsi="David" w:cs="David"/>
                <w:sz w:val="24"/>
                <w:szCs w:val="24"/>
                <w:rtl/>
              </w:rPr>
              <w:t xml:space="preserve"> (2.5.12), דחה בית המשפט העליון ערעור נאשם אשר הורשע לאחר ניהול הוכחות בעבירות אינוס, מעשה סדום ומעשים מגונים כלפי אחותו הקטינה. מגיל 15 ולמשך שנתיים ביצע עבירות מין כלפי אחותו הצעירה ממנו בחמש שנים, במספר הזדמנויות החדיר את איבר מינו לאיבר מינה ולפיה ודרש ממנה לגעת באיבר מינו. הנאשם נדון כקטין, בעל נסיבות חיים קשות ובעיות נפשיות, לעונש של 3.5 שנות מאסר בפועל. </w:t>
            </w:r>
          </w:p>
          <w:p w:rsidR="009A5FB3" w:rsidRPr="00613BE4" w:rsidRDefault="009A5FB3" w:rsidP="009A5FB3">
            <w:pPr>
              <w:pStyle w:val="a"/>
              <w:numPr>
                <w:ilvl w:val="1"/>
                <w:numId w:val="4"/>
              </w:numPr>
              <w:tabs>
                <w:tab w:val="left" w:pos="720"/>
              </w:tabs>
              <w:ind w:right="0"/>
              <w:jc w:val="both"/>
              <w:rPr>
                <w:rStyle w:val="default"/>
                <w:rFonts w:ascii="David" w:eastAsia="Calibri" w:hAnsi="David" w:cs="David"/>
                <w:sz w:val="24"/>
                <w:szCs w:val="24"/>
              </w:rPr>
            </w:pPr>
            <w:r w:rsidRPr="00613BE4">
              <w:rPr>
                <w:rStyle w:val="default"/>
                <w:rFonts w:ascii="David" w:eastAsia="Calibri" w:hAnsi="David" w:cs="David"/>
                <w:sz w:val="24"/>
                <w:szCs w:val="24"/>
                <w:rtl/>
              </w:rPr>
              <w:t xml:space="preserve">בע"פ 7211/13 </w:t>
            </w:r>
            <w:r w:rsidRPr="00613BE4">
              <w:rPr>
                <w:rStyle w:val="default"/>
                <w:rFonts w:ascii="David" w:eastAsia="Calibri" w:hAnsi="David" w:cs="David"/>
                <w:b/>
                <w:bCs/>
                <w:sz w:val="24"/>
                <w:szCs w:val="24"/>
                <w:rtl/>
              </w:rPr>
              <w:t>פלוני נ' מדינת ישראל</w:t>
            </w:r>
            <w:r w:rsidRPr="00613BE4">
              <w:rPr>
                <w:rStyle w:val="default"/>
                <w:rFonts w:ascii="David" w:eastAsia="Calibri" w:hAnsi="David" w:cs="David"/>
                <w:sz w:val="24"/>
                <w:szCs w:val="24"/>
                <w:rtl/>
              </w:rPr>
              <w:t xml:space="preserve"> (13.12.15), קיבל בית המשפט העליון ערעור נאשם שהיה קטין כבן 15 בעת ביצוע העבירות אשר הורשע לאחר ניהול הוכחות בשלוש עבירות של מעשה סדום וריבוי עבירות של מעשים מגונים כלפי קטין כבן 10, </w:t>
            </w:r>
            <w:r w:rsidRPr="00613BE4">
              <w:rPr>
                <w:rStyle w:val="default"/>
                <w:rFonts w:ascii="David" w:eastAsia="Calibri" w:hAnsi="David" w:cs="David"/>
                <w:b/>
                <w:bCs/>
                <w:sz w:val="24"/>
                <w:szCs w:val="24"/>
                <w:rtl/>
              </w:rPr>
              <w:t>שאינו בן משפחה</w:t>
            </w:r>
            <w:r w:rsidRPr="00613BE4">
              <w:rPr>
                <w:rStyle w:val="default"/>
                <w:rFonts w:ascii="David" w:eastAsia="Calibri" w:hAnsi="David" w:cs="David"/>
                <w:sz w:val="24"/>
                <w:szCs w:val="24"/>
                <w:rtl/>
              </w:rPr>
              <w:t xml:space="preserve">. </w:t>
            </w:r>
            <w:r w:rsidRPr="00613BE4">
              <w:rPr>
                <w:rStyle w:val="default"/>
                <w:rFonts w:ascii="David" w:eastAsia="Calibri" w:hAnsi="David" w:cs="David"/>
                <w:b/>
                <w:bCs/>
                <w:sz w:val="24"/>
                <w:szCs w:val="24"/>
                <w:rtl/>
              </w:rPr>
              <w:t>נדון כבגיר</w:t>
            </w:r>
            <w:r w:rsidRPr="00613BE4">
              <w:rPr>
                <w:rStyle w:val="default"/>
                <w:rFonts w:ascii="David" w:eastAsia="Calibri" w:hAnsi="David" w:cs="David"/>
                <w:sz w:val="24"/>
                <w:szCs w:val="24"/>
                <w:rtl/>
              </w:rPr>
              <w:t xml:space="preserve"> 15 שנים לאחר המעשים. בית המשפט קבע מתחם עונש הנע בין שנה ל-4 שנות מאסר בגין כל אחד ממעשי </w:t>
            </w:r>
            <w:proofErr w:type="spellStart"/>
            <w:r w:rsidRPr="00613BE4">
              <w:rPr>
                <w:rStyle w:val="default"/>
                <w:rFonts w:ascii="David" w:eastAsia="Calibri" w:hAnsi="David" w:cs="David"/>
                <w:sz w:val="24"/>
                <w:szCs w:val="24"/>
                <w:rtl/>
              </w:rPr>
              <w:t>הסדום</w:t>
            </w:r>
            <w:proofErr w:type="spellEnd"/>
            <w:r w:rsidRPr="00613BE4">
              <w:rPr>
                <w:rStyle w:val="default"/>
                <w:rFonts w:ascii="David" w:eastAsia="Calibri" w:hAnsi="David" w:cs="David"/>
                <w:sz w:val="24"/>
                <w:szCs w:val="24"/>
                <w:rtl/>
              </w:rPr>
              <w:t xml:space="preserve"> ומתחם הנע בין 6 ל-24 חודשי מאסר בגין עבירות מעשה מגונה. הנאשם נדון לעונש של 30 חודשי מאסר בפועל. בית המשפט העליון זיכה את הנאשם מעבירות מעשה מגונה והעמיד את עונשו על 18 חודשי מאסר בגין הרשעתו במעשי </w:t>
            </w:r>
            <w:proofErr w:type="spellStart"/>
            <w:r w:rsidRPr="00613BE4">
              <w:rPr>
                <w:rStyle w:val="default"/>
                <w:rFonts w:ascii="David" w:eastAsia="Calibri" w:hAnsi="David" w:cs="David"/>
                <w:sz w:val="24"/>
                <w:szCs w:val="24"/>
                <w:rtl/>
              </w:rPr>
              <w:t>הסדום</w:t>
            </w:r>
            <w:proofErr w:type="spellEnd"/>
            <w:r w:rsidRPr="00613BE4">
              <w:rPr>
                <w:rStyle w:val="default"/>
                <w:rFonts w:ascii="David" w:eastAsia="Calibri" w:hAnsi="David" w:cs="David"/>
                <w:sz w:val="24"/>
                <w:szCs w:val="24"/>
                <w:rtl/>
              </w:rPr>
              <w:t xml:space="preserve">. </w:t>
            </w:r>
          </w:p>
          <w:p w:rsidR="009A5FB3" w:rsidRPr="00613BE4" w:rsidRDefault="009A5FB3" w:rsidP="009A5FB3">
            <w:pPr>
              <w:pStyle w:val="a"/>
              <w:numPr>
                <w:ilvl w:val="1"/>
                <w:numId w:val="4"/>
              </w:numPr>
              <w:tabs>
                <w:tab w:val="left" w:pos="720"/>
              </w:tabs>
              <w:ind w:right="0"/>
              <w:jc w:val="both"/>
              <w:rPr>
                <w:rStyle w:val="default"/>
                <w:rFonts w:ascii="David" w:eastAsia="Calibri" w:hAnsi="David" w:cs="David"/>
                <w:sz w:val="24"/>
                <w:szCs w:val="24"/>
              </w:rPr>
            </w:pPr>
            <w:proofErr w:type="spellStart"/>
            <w:r w:rsidRPr="00613BE4">
              <w:rPr>
                <w:rStyle w:val="default"/>
                <w:rFonts w:ascii="David" w:eastAsia="Calibri" w:hAnsi="David" w:cs="David"/>
                <w:sz w:val="24"/>
                <w:szCs w:val="24"/>
                <w:rtl/>
              </w:rPr>
              <w:t>תפח"ע</w:t>
            </w:r>
            <w:proofErr w:type="spellEnd"/>
            <w:r w:rsidRPr="00613BE4">
              <w:rPr>
                <w:rStyle w:val="default"/>
                <w:rFonts w:ascii="David" w:eastAsia="Calibri" w:hAnsi="David" w:cs="David"/>
                <w:sz w:val="24"/>
                <w:szCs w:val="24"/>
                <w:rtl/>
              </w:rPr>
              <w:t xml:space="preserve"> (מחוזי מר') 46516-01-21 </w:t>
            </w:r>
            <w:r w:rsidRPr="00613BE4">
              <w:rPr>
                <w:rStyle w:val="default"/>
                <w:rFonts w:ascii="David" w:eastAsia="Calibri" w:hAnsi="David" w:cs="David"/>
                <w:b/>
                <w:bCs/>
                <w:sz w:val="24"/>
                <w:szCs w:val="24"/>
                <w:rtl/>
              </w:rPr>
              <w:t>מדינת ישראל נ' פלוני</w:t>
            </w:r>
            <w:r w:rsidRPr="00613BE4">
              <w:rPr>
                <w:rStyle w:val="default"/>
                <w:rFonts w:ascii="David" w:eastAsia="Calibri" w:hAnsi="David" w:cs="David"/>
                <w:sz w:val="24"/>
                <w:szCs w:val="24"/>
                <w:rtl/>
              </w:rPr>
              <w:t xml:space="preserve"> (28.6.23). במקרה זה, שנדון בפנינו, הורשע אח בביצוע מסכת עבירות אונס, מעשי סדום ומעשים מגונים באחותו הקטינה. הנאשם </w:t>
            </w:r>
            <w:r w:rsidRPr="00613BE4">
              <w:rPr>
                <w:rStyle w:val="default"/>
                <w:rFonts w:ascii="David" w:eastAsia="Calibri" w:hAnsi="David" w:cs="David"/>
                <w:b/>
                <w:bCs/>
                <w:sz w:val="24"/>
                <w:szCs w:val="24"/>
                <w:rtl/>
              </w:rPr>
              <w:t>נדון כבגיר</w:t>
            </w:r>
            <w:r w:rsidRPr="00613BE4">
              <w:rPr>
                <w:rStyle w:val="default"/>
                <w:rFonts w:ascii="David" w:eastAsia="Calibri" w:hAnsi="David" w:cs="David"/>
                <w:sz w:val="24"/>
                <w:szCs w:val="24"/>
                <w:rtl/>
              </w:rPr>
              <w:t>, שולב תקופה ממושכת בהוסטל מרכז "מעגלים", המאשימה הסכימה לחריגה מסוימת ממתחם ענישה ראוי (5-7 שנות מאסר). נקבע מתחם ענישה שנע בין 2.5-5 שנות מאסר, הנאשם עבר הליך טיפולי ממושך אך ללא שיקום משמעותי, נוכח התקדמות טיפולית המאפשרת חריגה מהמתחם אך לא עד כדי הימנעות מעונש מאסר, נדון הנאשם למאסר בן 20 חודשים. ערעור הגנה שהוגש תלוי ועומד בבית המשפט העליון, ומספרו ע"פ 6119/23;</w:t>
            </w:r>
          </w:p>
          <w:p w:rsidR="009A5FB3" w:rsidRPr="00613BE4" w:rsidRDefault="009A5FB3" w:rsidP="009A5FB3">
            <w:pPr>
              <w:pStyle w:val="a"/>
              <w:numPr>
                <w:ilvl w:val="1"/>
                <w:numId w:val="4"/>
              </w:numPr>
              <w:tabs>
                <w:tab w:val="left" w:pos="720"/>
              </w:tabs>
              <w:ind w:right="0"/>
              <w:jc w:val="both"/>
              <w:rPr>
                <w:rStyle w:val="default"/>
                <w:rFonts w:ascii="David" w:eastAsia="Calibri" w:hAnsi="David" w:cs="David"/>
                <w:sz w:val="24"/>
                <w:szCs w:val="24"/>
              </w:rPr>
            </w:pPr>
            <w:r w:rsidRPr="00613BE4">
              <w:rPr>
                <w:rStyle w:val="default"/>
                <w:rFonts w:ascii="David" w:eastAsia="Calibri" w:hAnsi="David" w:cs="David"/>
                <w:sz w:val="24"/>
                <w:szCs w:val="24"/>
                <w:rtl/>
              </w:rPr>
              <w:t xml:space="preserve">תפ"ח (מחוזי מר') 3969-06-22 </w:t>
            </w:r>
            <w:r w:rsidRPr="00613BE4">
              <w:rPr>
                <w:rStyle w:val="default"/>
                <w:rFonts w:ascii="David" w:eastAsia="Calibri" w:hAnsi="David" w:cs="David"/>
                <w:b/>
                <w:bCs/>
                <w:sz w:val="24"/>
                <w:szCs w:val="24"/>
                <w:rtl/>
              </w:rPr>
              <w:t>מדינת ישראל נ' פלוני</w:t>
            </w:r>
            <w:r w:rsidRPr="00613BE4">
              <w:rPr>
                <w:rStyle w:val="default"/>
                <w:rFonts w:ascii="David" w:eastAsia="Calibri" w:hAnsi="David" w:cs="David"/>
                <w:sz w:val="24"/>
                <w:szCs w:val="24"/>
                <w:rtl/>
              </w:rPr>
              <w:t xml:space="preserve"> (14.3.24), שנדון אף הוא בפנינו, הורשע נאשם בריבוי עבירות אונס ומעשים מגונים באחותו הקטינה. הנאשם ביצע את העבירות בגילאים 19-16 באחותו קטינה בגילאי 10-7 שנים, בחלקן, לרבות עבירת האינוס בגיל קטינות. </w:t>
            </w:r>
            <w:r w:rsidRPr="00613BE4">
              <w:rPr>
                <w:rStyle w:val="default"/>
                <w:rFonts w:ascii="David" w:eastAsia="Calibri" w:hAnsi="David" w:cs="David"/>
                <w:b/>
                <w:bCs/>
                <w:sz w:val="24"/>
                <w:szCs w:val="24"/>
                <w:rtl/>
              </w:rPr>
              <w:t>נדון כבגיר</w:t>
            </w:r>
            <w:r w:rsidRPr="00613BE4">
              <w:rPr>
                <w:rStyle w:val="default"/>
                <w:rFonts w:ascii="David" w:eastAsia="Calibri" w:hAnsi="David" w:cs="David"/>
                <w:sz w:val="24"/>
                <w:szCs w:val="24"/>
                <w:rtl/>
              </w:rPr>
              <w:t xml:space="preserve">, נקבע מתחם ענישה הנע בין 10-6 שנים, הנאשם בעל עבר פלילי, תסקירו שלילי, נדון למאסר בפועל בן 7.5 שנים; </w:t>
            </w:r>
          </w:p>
          <w:p w:rsidR="009A5FB3" w:rsidRPr="00613BE4" w:rsidRDefault="009A5FB3" w:rsidP="009A5FB3">
            <w:pPr>
              <w:pStyle w:val="a"/>
              <w:numPr>
                <w:ilvl w:val="1"/>
                <w:numId w:val="4"/>
              </w:numPr>
              <w:tabs>
                <w:tab w:val="left" w:pos="720"/>
              </w:tabs>
              <w:ind w:right="0"/>
              <w:jc w:val="both"/>
              <w:rPr>
                <w:rStyle w:val="default"/>
                <w:rFonts w:ascii="David" w:eastAsia="Calibri" w:hAnsi="David" w:cs="David"/>
                <w:sz w:val="24"/>
                <w:szCs w:val="24"/>
              </w:rPr>
            </w:pPr>
            <w:proofErr w:type="spellStart"/>
            <w:r w:rsidRPr="00613BE4">
              <w:rPr>
                <w:rStyle w:val="default"/>
                <w:rFonts w:ascii="David" w:eastAsia="Calibri" w:hAnsi="David" w:cs="David"/>
                <w:sz w:val="24"/>
                <w:szCs w:val="24"/>
                <w:rtl/>
              </w:rPr>
              <w:t>בתפ"ח</w:t>
            </w:r>
            <w:proofErr w:type="spellEnd"/>
            <w:r w:rsidRPr="00613BE4">
              <w:rPr>
                <w:rStyle w:val="default"/>
                <w:rFonts w:ascii="David" w:eastAsia="Calibri" w:hAnsi="David" w:cs="David"/>
                <w:sz w:val="24"/>
                <w:szCs w:val="24"/>
                <w:rtl/>
              </w:rPr>
              <w:t xml:space="preserve"> (מחוזי מר') 27960-07-22 </w:t>
            </w:r>
            <w:r w:rsidRPr="00613BE4">
              <w:rPr>
                <w:rStyle w:val="default"/>
                <w:rFonts w:ascii="David" w:eastAsia="Calibri" w:hAnsi="David" w:cs="David"/>
                <w:b/>
                <w:bCs/>
                <w:sz w:val="24"/>
                <w:szCs w:val="24"/>
                <w:rtl/>
              </w:rPr>
              <w:t xml:space="preserve">מדינת ישראל נ' פלוני </w:t>
            </w:r>
            <w:r w:rsidRPr="00613BE4">
              <w:rPr>
                <w:rStyle w:val="default"/>
                <w:rFonts w:ascii="David" w:eastAsia="Calibri" w:hAnsi="David" w:cs="David"/>
                <w:sz w:val="24"/>
                <w:szCs w:val="24"/>
                <w:rtl/>
              </w:rPr>
              <w:t xml:space="preserve">(25.2.2024, הרכב כב' הנשיאה </w:t>
            </w:r>
            <w:proofErr w:type="spellStart"/>
            <w:r w:rsidRPr="00613BE4">
              <w:rPr>
                <w:rStyle w:val="default"/>
                <w:rFonts w:ascii="David" w:eastAsia="Calibri" w:hAnsi="David" w:cs="David"/>
                <w:sz w:val="24"/>
                <w:szCs w:val="24"/>
                <w:rtl/>
              </w:rPr>
              <w:t>הש</w:t>
            </w:r>
            <w:proofErr w:type="spellEnd"/>
            <w:r w:rsidRPr="00613BE4">
              <w:rPr>
                <w:rStyle w:val="default"/>
                <w:rFonts w:ascii="David" w:eastAsia="Calibri" w:hAnsi="David" w:cs="David"/>
                <w:sz w:val="24"/>
                <w:szCs w:val="24"/>
                <w:rtl/>
              </w:rPr>
              <w:t xml:space="preserve">' לורך), הורשעו שני אחים על פי הודאתם בביצוע עבירות מין כלפי אחותם. האחים לא היו מודעים זה למעשיו של זה. אחד האחים ביצע החל </w:t>
            </w:r>
            <w:proofErr w:type="spellStart"/>
            <w:r w:rsidRPr="00613BE4">
              <w:rPr>
                <w:rStyle w:val="default"/>
                <w:rFonts w:ascii="David" w:eastAsia="Calibri" w:hAnsi="David" w:cs="David"/>
                <w:sz w:val="24"/>
                <w:szCs w:val="24"/>
                <w:rtl/>
              </w:rPr>
              <w:t>מהיותו</w:t>
            </w:r>
            <w:proofErr w:type="spellEnd"/>
            <w:r w:rsidRPr="00613BE4">
              <w:rPr>
                <w:rStyle w:val="default"/>
                <w:rFonts w:ascii="David" w:eastAsia="Calibri" w:hAnsi="David" w:cs="David"/>
                <w:sz w:val="24"/>
                <w:szCs w:val="24"/>
                <w:rtl/>
              </w:rPr>
              <w:t xml:space="preserve"> קטין בן 17 ועד שמלאו לו 20, ריבוי עבירות של מעשה סדום ומעשים מגונים באחותו הקטינה. בית המשפט קבע בעניינו מתחם עונש הנע בין 7 ועד ל-11 שנות מאסר בפועל. הנאשם נשוי, ללא עבר פלילי אשר שולב בטיפול ייעודי, נדון לעונש של 7 שנות מאסר בפועל. האח הנוסף ביצע החל </w:t>
            </w:r>
            <w:proofErr w:type="spellStart"/>
            <w:r w:rsidRPr="00613BE4">
              <w:rPr>
                <w:rStyle w:val="default"/>
                <w:rFonts w:ascii="David" w:eastAsia="Calibri" w:hAnsi="David" w:cs="David"/>
                <w:sz w:val="24"/>
                <w:szCs w:val="24"/>
                <w:rtl/>
              </w:rPr>
              <w:t>מהיותו</w:t>
            </w:r>
            <w:proofErr w:type="spellEnd"/>
            <w:r w:rsidRPr="00613BE4">
              <w:rPr>
                <w:rStyle w:val="default"/>
                <w:rFonts w:ascii="David" w:eastAsia="Calibri" w:hAnsi="David" w:cs="David"/>
                <w:sz w:val="24"/>
                <w:szCs w:val="24"/>
                <w:rtl/>
              </w:rPr>
              <w:t xml:space="preserve"> קטין בן 17 ועד שמלאו לו 23 עבירות של מעשים מגונים באחותו הקטינה. בית </w:t>
            </w:r>
            <w:r w:rsidRPr="00613BE4">
              <w:rPr>
                <w:rStyle w:val="default"/>
                <w:rFonts w:ascii="David" w:eastAsia="Calibri" w:hAnsi="David" w:cs="David"/>
                <w:sz w:val="24"/>
                <w:szCs w:val="24"/>
                <w:rtl/>
              </w:rPr>
              <w:lastRenderedPageBreak/>
              <w:t xml:space="preserve">המשפט קבע בעניינו מתחם עונש הנע בין 5 ועד ל-8 שנות מאסר בפועל. הנאשם נעדר עבר פלילי אשר שולב בטיפול ראשוני, נדון לעונש של 5 שנות מאסר בפועל. </w:t>
            </w:r>
          </w:p>
          <w:p w:rsidR="009A5FB3" w:rsidRPr="00613BE4" w:rsidRDefault="009A5FB3" w:rsidP="009A5FB3">
            <w:pPr>
              <w:pStyle w:val="a"/>
              <w:numPr>
                <w:ilvl w:val="0"/>
                <w:numId w:val="0"/>
              </w:numPr>
              <w:tabs>
                <w:tab w:val="left" w:pos="720"/>
              </w:tabs>
              <w:spacing w:after="0"/>
              <w:ind w:left="1440" w:right="0"/>
              <w:jc w:val="both"/>
              <w:rPr>
                <w:rStyle w:val="default"/>
                <w:rFonts w:ascii="David" w:eastAsia="Calibri" w:hAnsi="David" w:cs="David"/>
                <w:sz w:val="24"/>
                <w:szCs w:val="24"/>
              </w:rPr>
            </w:pPr>
          </w:p>
          <w:p w:rsidR="009A5FB3" w:rsidRPr="00613BE4" w:rsidRDefault="009A5FB3" w:rsidP="009A5FB3">
            <w:pPr>
              <w:pStyle w:val="a"/>
              <w:numPr>
                <w:ilvl w:val="0"/>
                <w:numId w:val="0"/>
              </w:numPr>
              <w:tabs>
                <w:tab w:val="left" w:pos="720"/>
              </w:tabs>
              <w:spacing w:after="0"/>
              <w:ind w:left="1440" w:right="0"/>
              <w:jc w:val="both"/>
              <w:rPr>
                <w:rStyle w:val="default"/>
                <w:rFonts w:ascii="David" w:eastAsia="Calibri" w:hAnsi="David" w:cs="David"/>
                <w:sz w:val="24"/>
                <w:szCs w:val="24"/>
                <w:rtl/>
              </w:rPr>
            </w:pPr>
            <w:r w:rsidRPr="00613BE4">
              <w:rPr>
                <w:rStyle w:val="default"/>
                <w:rFonts w:ascii="David" w:eastAsia="Calibri" w:hAnsi="David" w:cs="David"/>
                <w:sz w:val="24"/>
                <w:szCs w:val="24"/>
                <w:rtl/>
              </w:rPr>
              <w:t>אף במקרים שנסיבותיהם חמורות פחות מהמקרה שבפנינו, בגדרם נדונו נאשמים קטינים בביצוע מעשים מגונים בבת משפחה, נגזרו עליהם עונשי מאסר שאינם קצרים:</w:t>
            </w:r>
          </w:p>
          <w:p w:rsidR="009A5FB3" w:rsidRPr="00613BE4" w:rsidRDefault="009A5FB3" w:rsidP="009A5FB3">
            <w:pPr>
              <w:pStyle w:val="a"/>
              <w:numPr>
                <w:ilvl w:val="0"/>
                <w:numId w:val="0"/>
              </w:numPr>
              <w:tabs>
                <w:tab w:val="num" w:pos="1440"/>
              </w:tabs>
              <w:ind w:left="1440" w:right="0"/>
              <w:jc w:val="both"/>
              <w:rPr>
                <w:rStyle w:val="default"/>
                <w:rFonts w:ascii="David" w:eastAsia="Calibri" w:hAnsi="David" w:cs="David"/>
                <w:sz w:val="24"/>
                <w:szCs w:val="24"/>
                <w:rtl/>
              </w:rPr>
            </w:pPr>
            <w:r w:rsidRPr="00613BE4">
              <w:rPr>
                <w:rStyle w:val="default"/>
                <w:rFonts w:ascii="David" w:eastAsia="Calibri" w:hAnsi="David" w:cs="David"/>
                <w:sz w:val="24"/>
                <w:szCs w:val="24"/>
                <w:rtl/>
              </w:rPr>
              <w:t xml:space="preserve">בע"פ 2787/11 </w:t>
            </w:r>
            <w:r w:rsidRPr="00613BE4">
              <w:rPr>
                <w:rStyle w:val="default"/>
                <w:rFonts w:ascii="David" w:eastAsia="Calibri" w:hAnsi="David" w:cs="David"/>
                <w:b/>
                <w:bCs/>
                <w:sz w:val="24"/>
                <w:szCs w:val="24"/>
                <w:rtl/>
              </w:rPr>
              <w:t>פלוני נ' מדינת ישראל</w:t>
            </w:r>
            <w:r w:rsidRPr="00613BE4">
              <w:rPr>
                <w:rStyle w:val="default"/>
                <w:rFonts w:ascii="David" w:eastAsia="Calibri" w:hAnsi="David" w:cs="David"/>
                <w:sz w:val="24"/>
                <w:szCs w:val="24"/>
                <w:rtl/>
              </w:rPr>
              <w:t xml:space="preserve"> (1.5.12), קיבל בית המשפט העליון ערעורו של נאשם אשר הורשע בריבוי עבירות של </w:t>
            </w:r>
            <w:r w:rsidRPr="00613BE4">
              <w:rPr>
                <w:rStyle w:val="default"/>
                <w:rFonts w:ascii="David" w:eastAsia="Calibri" w:hAnsi="David" w:cs="David"/>
                <w:b/>
                <w:bCs/>
                <w:sz w:val="24"/>
                <w:szCs w:val="24"/>
                <w:rtl/>
              </w:rPr>
              <w:t>מעשים מגונים</w:t>
            </w:r>
            <w:r w:rsidRPr="00613BE4">
              <w:rPr>
                <w:rStyle w:val="default"/>
                <w:rFonts w:ascii="David" w:eastAsia="Calibri" w:hAnsi="David" w:cs="David"/>
                <w:sz w:val="24"/>
                <w:szCs w:val="24"/>
                <w:rtl/>
              </w:rPr>
              <w:t xml:space="preserve"> באחותו הקטינה. הנאשם ביצע את המעשים מגיל 14 עד 16.5, נהג להיכנס לחדר הרחצה שעה שהמתלוננת התקלחה, ולאונן בנוכחותה ובחלק מהפעמים התפשט ונגע בגופה. מספר פעמים נכנס לחדרה כשישנה, הפשיטה ונגע עם איבר מינו באיבר מינה. הנאשם בעל מוגבלות קוגניטיבית קלה, ללא עבר פלילי שולב בטיפול ממושך אולם התקשה להפיק ממנו תועלת בין היתר בשל מוגבלותו. </w:t>
            </w:r>
            <w:r w:rsidRPr="00613BE4">
              <w:rPr>
                <w:rStyle w:val="default"/>
                <w:rFonts w:ascii="David" w:eastAsia="Calibri" w:hAnsi="David" w:cs="David"/>
                <w:b/>
                <w:bCs/>
                <w:sz w:val="24"/>
                <w:szCs w:val="24"/>
                <w:rtl/>
              </w:rPr>
              <w:t>נדון כקטין</w:t>
            </w:r>
            <w:r w:rsidRPr="00613BE4">
              <w:rPr>
                <w:rStyle w:val="default"/>
                <w:rFonts w:ascii="David" w:eastAsia="Calibri" w:hAnsi="David" w:cs="David"/>
                <w:sz w:val="24"/>
                <w:szCs w:val="24"/>
                <w:rtl/>
              </w:rPr>
              <w:t xml:space="preserve"> ונשפט לעונש של 4.5 שנות מאסר בפועל. בית המשפט העליון, התחשב בגילו הצעיר בעת ביצוע העבירות, נסיבות חייו המורכבות ועמדת שירות המבחן, הקל בעונשו והעמידו על 36 חודשי מאסר בפועל;</w:t>
            </w:r>
          </w:p>
          <w:p w:rsidR="009A5FB3" w:rsidRPr="00613BE4" w:rsidRDefault="009A5FB3" w:rsidP="009A5FB3">
            <w:pPr>
              <w:pStyle w:val="a"/>
              <w:numPr>
                <w:ilvl w:val="0"/>
                <w:numId w:val="0"/>
              </w:numPr>
              <w:tabs>
                <w:tab w:val="left" w:pos="720"/>
              </w:tabs>
              <w:ind w:left="1440" w:right="0"/>
              <w:jc w:val="both"/>
              <w:rPr>
                <w:rStyle w:val="default"/>
                <w:rFonts w:ascii="David" w:eastAsia="Calibri" w:hAnsi="David" w:cs="David"/>
                <w:sz w:val="24"/>
                <w:szCs w:val="24"/>
              </w:rPr>
            </w:pPr>
            <w:r w:rsidRPr="00613BE4">
              <w:rPr>
                <w:rStyle w:val="default"/>
                <w:rFonts w:ascii="David" w:eastAsia="Calibri" w:hAnsi="David" w:cs="David"/>
                <w:sz w:val="24"/>
                <w:szCs w:val="24"/>
                <w:rtl/>
              </w:rPr>
              <w:t xml:space="preserve">בע"פ 8477/17 </w:t>
            </w:r>
            <w:r w:rsidRPr="00613BE4">
              <w:rPr>
                <w:rStyle w:val="default"/>
                <w:rFonts w:ascii="David" w:eastAsia="Calibri" w:hAnsi="David" w:cs="David"/>
                <w:b/>
                <w:bCs/>
                <w:sz w:val="24"/>
                <w:szCs w:val="24"/>
                <w:rtl/>
              </w:rPr>
              <w:t>פלוני נ' מדינת ישראל</w:t>
            </w:r>
            <w:r w:rsidRPr="00613BE4">
              <w:rPr>
                <w:rStyle w:val="default"/>
                <w:rFonts w:ascii="David" w:eastAsia="Calibri" w:hAnsi="David" w:cs="David"/>
                <w:sz w:val="24"/>
                <w:szCs w:val="24"/>
                <w:rtl/>
              </w:rPr>
              <w:t xml:space="preserve"> (14.3.19), דחה בית המשפט העליון ערעור נאשם אשר הורשע על פי הודאתו בריבוי עבירות של </w:t>
            </w:r>
            <w:r w:rsidRPr="00613BE4">
              <w:rPr>
                <w:rStyle w:val="default"/>
                <w:rFonts w:ascii="David" w:eastAsia="Calibri" w:hAnsi="David" w:cs="David"/>
                <w:b/>
                <w:bCs/>
                <w:sz w:val="24"/>
                <w:szCs w:val="24"/>
                <w:rtl/>
              </w:rPr>
              <w:t>מעשה מגונה</w:t>
            </w:r>
            <w:r w:rsidRPr="00613BE4">
              <w:rPr>
                <w:rStyle w:val="default"/>
                <w:rFonts w:ascii="David" w:eastAsia="Calibri" w:hAnsi="David" w:cs="David"/>
                <w:sz w:val="24"/>
                <w:szCs w:val="24"/>
                <w:rtl/>
              </w:rPr>
              <w:t xml:space="preserve"> כלפי שתי אחיותיו הקטינות. הנאשם קטין בעת ביצוע העבירות, הורשע בכך שבמהלך שנתיים</w:t>
            </w:r>
            <w:r w:rsidRPr="00613BE4">
              <w:rPr>
                <w:rStyle w:val="default"/>
                <w:rFonts w:ascii="David" w:eastAsia="Calibri" w:hAnsi="David" w:cs="David"/>
                <w:b/>
                <w:bCs/>
                <w:sz w:val="24"/>
                <w:szCs w:val="24"/>
                <w:rtl/>
              </w:rPr>
              <w:t xml:space="preserve"> </w:t>
            </w:r>
            <w:r w:rsidRPr="00613BE4">
              <w:rPr>
                <w:rStyle w:val="default"/>
                <w:rFonts w:ascii="David" w:eastAsia="Calibri" w:hAnsi="David" w:cs="David"/>
                <w:sz w:val="24"/>
                <w:szCs w:val="24"/>
                <w:rtl/>
              </w:rPr>
              <w:t xml:space="preserve">פעמים רבות חיכך את איבר מינו באיבר מינה החשוף של אחותו מאז </w:t>
            </w:r>
            <w:proofErr w:type="spellStart"/>
            <w:r w:rsidRPr="00613BE4">
              <w:rPr>
                <w:rStyle w:val="default"/>
                <w:rFonts w:ascii="David" w:eastAsia="Calibri" w:hAnsi="David" w:cs="David"/>
                <w:sz w:val="24"/>
                <w:szCs w:val="24"/>
                <w:rtl/>
              </w:rPr>
              <w:t>היתה</w:t>
            </w:r>
            <w:proofErr w:type="spellEnd"/>
            <w:r w:rsidRPr="00613BE4">
              <w:rPr>
                <w:rStyle w:val="default"/>
                <w:rFonts w:ascii="David" w:eastAsia="Calibri" w:hAnsi="David" w:cs="David"/>
                <w:sz w:val="24"/>
                <w:szCs w:val="24"/>
                <w:rtl/>
              </w:rPr>
              <w:t xml:space="preserve"> כבת 10 ודרש ממנה ללטף את איבר מינו. כלפי אחות נוספת, מאז </w:t>
            </w:r>
            <w:proofErr w:type="spellStart"/>
            <w:r w:rsidRPr="00613BE4">
              <w:rPr>
                <w:rStyle w:val="default"/>
                <w:rFonts w:ascii="David" w:eastAsia="Calibri" w:hAnsi="David" w:cs="David"/>
                <w:sz w:val="24"/>
                <w:szCs w:val="24"/>
                <w:rtl/>
              </w:rPr>
              <w:t>היתה</w:t>
            </w:r>
            <w:proofErr w:type="spellEnd"/>
            <w:r w:rsidRPr="00613BE4">
              <w:rPr>
                <w:rStyle w:val="default"/>
                <w:rFonts w:ascii="David" w:eastAsia="Calibri" w:hAnsi="David" w:cs="David"/>
                <w:sz w:val="24"/>
                <w:szCs w:val="24"/>
                <w:rtl/>
              </w:rPr>
              <w:t xml:space="preserve"> בת 7, חיכך את איבר מינו ברגלה עד שהגיע לפורקן. הנאשם ביצע את העבירות בגיל 16 ועד 18 ונדון כבגיר. בית המשפט קבע, בנוגע לכל קטינה מתחם עונש הנע בין 12 ל-30 חודשי מאסר בפועל. הנאשם בשנות העשרים לחייו, ללא עבר פלילי נדון לעונש של 36 חודשי מאסר בפועל. בית המשפט העליון הפנה לחומרת העבירות, לנזק שנגרם למתלוננות ולשיקולי השיקום, ודחה את הערעור. </w:t>
            </w:r>
          </w:p>
          <w:p w:rsidR="009A5FB3" w:rsidRPr="00613BE4" w:rsidRDefault="009A5FB3" w:rsidP="009A5FB3">
            <w:pPr>
              <w:pStyle w:val="af"/>
              <w:numPr>
                <w:ilvl w:val="0"/>
                <w:numId w:val="3"/>
              </w:numPr>
              <w:spacing w:line="360" w:lineRule="auto"/>
              <w:jc w:val="both"/>
              <w:rPr>
                <w:rFonts w:eastAsia="Times New Roman"/>
              </w:rPr>
            </w:pPr>
            <w:r w:rsidRPr="00613BE4">
              <w:rPr>
                <w:rFonts w:eastAsia="Times New Roman"/>
                <w:rtl/>
              </w:rPr>
              <w:t xml:space="preserve">עיון באסופת הפסיקה שהגישה ההגנה מעלה כי מדובר במקרים קלים יותר, ברובם נדונו הנאשמים, </w:t>
            </w:r>
            <w:r w:rsidRPr="00613BE4">
              <w:rPr>
                <w:rFonts w:eastAsia="Times New Roman"/>
                <w:b/>
                <w:bCs/>
                <w:rtl/>
              </w:rPr>
              <w:t>בעודם קטינים</w:t>
            </w:r>
            <w:r w:rsidRPr="00613BE4">
              <w:rPr>
                <w:rFonts w:eastAsia="Times New Roman"/>
                <w:rtl/>
              </w:rPr>
              <w:t xml:space="preserve">, בבית משפט לנוער, בחלקם לא הורשעו בעבירות אינוס (ע"פ 5355/14 </w:t>
            </w:r>
            <w:r w:rsidRPr="00613BE4">
              <w:rPr>
                <w:rFonts w:eastAsia="Times New Roman"/>
                <w:b/>
                <w:bCs/>
                <w:rtl/>
              </w:rPr>
              <w:t>פלוני נ' מדינת ישראל</w:t>
            </w:r>
            <w:r w:rsidRPr="00613BE4">
              <w:rPr>
                <w:rFonts w:eastAsia="Times New Roman"/>
                <w:rtl/>
              </w:rPr>
              <w:t xml:space="preserve">, (27.10.15); ע"פ 5725/15 </w:t>
            </w:r>
            <w:r w:rsidRPr="00613BE4">
              <w:rPr>
                <w:rFonts w:eastAsia="Times New Roman"/>
                <w:b/>
                <w:bCs/>
                <w:rtl/>
              </w:rPr>
              <w:t>פלוני נ' מדינת ישראל</w:t>
            </w:r>
            <w:r w:rsidRPr="00613BE4">
              <w:rPr>
                <w:rFonts w:eastAsia="Times New Roman"/>
                <w:rtl/>
              </w:rPr>
              <w:t xml:space="preserve"> (4.8.16) או במקרי שיקום מובהקים (ת"פ (</w:t>
            </w:r>
            <w:proofErr w:type="spellStart"/>
            <w:r w:rsidRPr="00613BE4">
              <w:rPr>
                <w:rFonts w:eastAsia="Times New Roman"/>
                <w:rtl/>
              </w:rPr>
              <w:t>נצ</w:t>
            </w:r>
            <w:proofErr w:type="spellEnd"/>
            <w:r w:rsidRPr="00613BE4">
              <w:rPr>
                <w:rFonts w:eastAsia="Times New Roman"/>
                <w:rtl/>
              </w:rPr>
              <w:t xml:space="preserve">') 52159-06-14 </w:t>
            </w:r>
            <w:r w:rsidRPr="00613BE4">
              <w:rPr>
                <w:rFonts w:eastAsia="Times New Roman"/>
                <w:b/>
                <w:bCs/>
                <w:rtl/>
              </w:rPr>
              <w:t>מדינת ישראל נ' פלוני</w:t>
            </w:r>
            <w:r w:rsidRPr="00613BE4">
              <w:rPr>
                <w:rFonts w:eastAsia="Times New Roman"/>
                <w:rtl/>
              </w:rPr>
              <w:t xml:space="preserve"> (14.6.17); ת"פ (</w:t>
            </w:r>
            <w:proofErr w:type="spellStart"/>
            <w:r w:rsidRPr="00613BE4">
              <w:rPr>
                <w:rFonts w:eastAsia="Times New Roman"/>
                <w:rtl/>
              </w:rPr>
              <w:t>נת</w:t>
            </w:r>
            <w:proofErr w:type="spellEnd"/>
            <w:r w:rsidRPr="00613BE4">
              <w:rPr>
                <w:rFonts w:eastAsia="Times New Roman"/>
                <w:rtl/>
              </w:rPr>
              <w:t xml:space="preserve">') 19211-12-19 </w:t>
            </w:r>
            <w:r w:rsidRPr="00613BE4">
              <w:rPr>
                <w:rFonts w:eastAsia="Times New Roman"/>
                <w:b/>
                <w:bCs/>
                <w:rtl/>
              </w:rPr>
              <w:t>מדינת ישראל נ' פלוני</w:t>
            </w:r>
            <w:r w:rsidRPr="00613BE4">
              <w:rPr>
                <w:rFonts w:eastAsia="Times New Roman"/>
                <w:rtl/>
              </w:rPr>
              <w:t xml:space="preserve"> (23.11.21)</w:t>
            </w:r>
          </w:p>
          <w:p w:rsidR="009A5FB3" w:rsidRPr="00613BE4" w:rsidRDefault="009A5FB3" w:rsidP="009A5FB3">
            <w:pPr>
              <w:spacing w:line="360" w:lineRule="auto"/>
              <w:ind w:left="1274"/>
              <w:jc w:val="both"/>
              <w:rPr>
                <w:rFonts w:ascii="David" w:hAnsi="David"/>
              </w:rPr>
            </w:pPr>
          </w:p>
          <w:p w:rsidR="009A5FB3" w:rsidRPr="00613BE4" w:rsidRDefault="009A5FB3" w:rsidP="009A5FB3">
            <w:pPr>
              <w:pStyle w:val="af"/>
              <w:numPr>
                <w:ilvl w:val="0"/>
                <w:numId w:val="3"/>
              </w:numPr>
              <w:spacing w:after="120" w:line="360" w:lineRule="auto"/>
              <w:jc w:val="both"/>
              <w:rPr>
                <w:rFonts w:eastAsia="Times New Roman"/>
                <w:color w:val="000000"/>
              </w:rPr>
            </w:pPr>
            <w:r w:rsidRPr="00613BE4">
              <w:rPr>
                <w:rFonts w:eastAsia="Times New Roman"/>
                <w:color w:val="000000"/>
                <w:rtl/>
              </w:rPr>
              <w:t xml:space="preserve">על יסוד נסיבות מעשי העבירות, מדיניות הענישה הנוהגת וגילו של הנאשם, אנו קובעים כי </w:t>
            </w:r>
            <w:r w:rsidRPr="00613BE4">
              <w:rPr>
                <w:rFonts w:eastAsia="Times New Roman"/>
                <w:b/>
                <w:bCs/>
                <w:color w:val="000000"/>
                <w:rtl/>
              </w:rPr>
              <w:t xml:space="preserve">מתחם העונש ההולם נע בין 3-6 שנות מאסר. </w:t>
            </w:r>
          </w:p>
          <w:p w:rsidR="009A5FB3" w:rsidRPr="00613BE4" w:rsidRDefault="009A5FB3" w:rsidP="009A5FB3">
            <w:pPr>
              <w:spacing w:after="120" w:line="360" w:lineRule="auto"/>
              <w:jc w:val="both"/>
              <w:rPr>
                <w:rFonts w:ascii="David" w:hAnsi="David"/>
                <w:bCs/>
                <w:u w:val="single"/>
                <w:rtl/>
                <w:lang w:eastAsia="he-IL"/>
              </w:rPr>
            </w:pPr>
            <w:r w:rsidRPr="00613BE4">
              <w:rPr>
                <w:rFonts w:ascii="David" w:hAnsi="David"/>
                <w:bCs/>
                <w:u w:val="single"/>
                <w:rtl/>
                <w:lang w:eastAsia="he-IL"/>
              </w:rPr>
              <w:t>גזירת העונש המתאים לנאשם</w:t>
            </w:r>
          </w:p>
          <w:p w:rsidR="009A5FB3" w:rsidRDefault="009A5FB3" w:rsidP="009A5FB3">
            <w:pPr>
              <w:numPr>
                <w:ilvl w:val="0"/>
                <w:numId w:val="3"/>
              </w:numPr>
              <w:spacing w:line="360" w:lineRule="auto"/>
              <w:jc w:val="both"/>
              <w:rPr>
                <w:rFonts w:ascii="David" w:hAnsi="David"/>
                <w:color w:val="000000"/>
              </w:rPr>
            </w:pPr>
            <w:r w:rsidRPr="00613BE4">
              <w:rPr>
                <w:rFonts w:ascii="David" w:hAnsi="David"/>
                <w:color w:val="000000"/>
                <w:rtl/>
              </w:rPr>
              <w:t xml:space="preserve">הנאשם בן 24, ללא עבר פלילי. הנאשם סבל בילדותו מקשיי לימוד ותפקוד בשל הפרעות קשב וריכוז, עבר מספר מסגרות עד ששולב במסגרת התואמת את נתוניו, שם מצא את מקומו (נ/1, תעודות הערכה ישיבה תיכונית). הנאשם שירת שירות צבאי מלא בתפקידי מנהלה בגדוד לוחם, כעולה מתעודות שהוגשו (נ/1, תעודת </w:t>
            </w:r>
            <w:r w:rsidRPr="00613BE4">
              <w:rPr>
                <w:rFonts w:ascii="David" w:hAnsi="David"/>
                <w:color w:val="000000"/>
                <w:rtl/>
              </w:rPr>
              <w:lastRenderedPageBreak/>
              <w:t>הצטיינות, חוות דעת מפקדים) ומעדות מפקדו לשעבר, הוכיח את עצמו כחייל אחראי ומסור וגילה כישורי מנהיגות ופיקוד. עד למעצרו עבד כחונך בדירת צעירים הסובלים ממוגבלות וזכה להערכה רבה. הנאשם בן למשפחה נורמטיבית, הוריו שליוו אותו ואת אחותו המתלוננת במהלך כל</w:t>
            </w:r>
            <w:r>
              <w:rPr>
                <w:color w:val="000000"/>
                <w:rtl/>
              </w:rPr>
              <w:t xml:space="preserve"> ההליך הצליחו ברגישות רבה לשמש כתף תומכת לשני ילדיהם, ניכר ממעשיהם ומדבריה המרגשים של האם, כי לאחר שמעשי הנאשם נחשפו וטלטלו את משפחתם, התגייסו באופן מלא לתמוך במתלוננת ולסייע לבנם במטרה לשקמם ולשקם את משפחתם. מאז ביצוע המעשים לפני כתשע שנים לא הסתבך הנאשם בפלילים ואף לא דווח כי התנהל באופן שאינו מותאם במישור המיני. הנאשם מצוי בקשר זוגי מזה שלוש שנים, כעולה מחוות דעת הערכת מסוכנות סובל מעיוותי חשיבה שונים ומסוכנותו המינית הוערכה כבינונית נמוכה. </w:t>
            </w:r>
          </w:p>
          <w:p w:rsidR="009A5FB3" w:rsidRDefault="009A5FB3" w:rsidP="009A5FB3">
            <w:pPr>
              <w:spacing w:line="360" w:lineRule="auto"/>
              <w:ind w:left="1068"/>
              <w:jc w:val="both"/>
              <w:rPr>
                <w:color w:val="000000"/>
              </w:rPr>
            </w:pPr>
          </w:p>
          <w:p w:rsidR="009A5FB3" w:rsidRDefault="009A5FB3" w:rsidP="009A5FB3">
            <w:pPr>
              <w:numPr>
                <w:ilvl w:val="0"/>
                <w:numId w:val="3"/>
              </w:numPr>
              <w:spacing w:line="360" w:lineRule="auto"/>
              <w:jc w:val="both"/>
              <w:rPr>
                <w:color w:val="000000"/>
              </w:rPr>
            </w:pPr>
            <w:r>
              <w:rPr>
                <w:color w:val="000000"/>
                <w:rtl/>
              </w:rPr>
              <w:t xml:space="preserve">הנאשם הופנה לתסקיר שירות מבחן לפני יותר משנה אך חרף הזמן שחלף והזדמנויות שניתנו לו התקשה להשתלב במתווה הטיפולי שעליו המליצו גורמי הטיפול. הנאשם התייחס למעשיו בצמצום, טען לבעיות זיכרון והתקשה להעמיק ולהכיר במניעי התנהלותו המינית הפוגענית, במהלך תקופה ארוכה לא גילה אמפתיה למתלוננת והתנגד לשילוב בהליך טיפולי ייעודי ארוך טווח. לנאשם ניתנו מספר הזדמנויות להשתלב בטיפול, בהחלטות שונות מצאנו להיעתר להמלצת שירות מבחן ולדחות את הדיון בתיק חרף התנגדות המאשימה. הנאשם הופנה למרכז "מעגלים" אך לא נמצא מתאים ולא הסכים להשתלב בטיפול במסגרת הוסטל. בהמשך שולב במרכז "מפנה" לטיפול מונע בעברייני מין ומצוי בשלבים ראשוניים. שירות המבחן התרשם שהמוטיבציה הטיפולית שמביע אינה אותנטית והעריך כי בשלב זה של חייו אינו בשל להשתלב בהליכי טיפול ושיקום משמעותיים ומעמיקים. מטעמים אלו לא בא שירות המבחן בתסקירו הסופי בהמלצה טיפולית ואף לא המליץ על הימנעות מעונש מאסר ממש. </w:t>
            </w:r>
          </w:p>
          <w:p w:rsidR="009A5FB3" w:rsidRDefault="009A5FB3" w:rsidP="009A5FB3">
            <w:pPr>
              <w:pStyle w:val="af"/>
              <w:rPr>
                <w:rFonts w:eastAsia="Times New Roman"/>
                <w:color w:val="000000"/>
              </w:rPr>
            </w:pPr>
          </w:p>
          <w:p w:rsidR="009A5FB3" w:rsidRDefault="009A5FB3" w:rsidP="009A5FB3">
            <w:pPr>
              <w:numPr>
                <w:ilvl w:val="0"/>
                <w:numId w:val="3"/>
              </w:numPr>
              <w:spacing w:line="360" w:lineRule="auto"/>
              <w:jc w:val="both"/>
              <w:rPr>
                <w:color w:val="000000"/>
              </w:rPr>
            </w:pPr>
            <w:r>
              <w:rPr>
                <w:color w:val="000000"/>
                <w:rtl/>
              </w:rPr>
              <w:t>מדבריו הכנים של הנאשם לעונש ניתן היה להתרשם שמגלה תובנה לחומרת מעשיו וקשייו להשתלב בהליכי טיפול נובעים בעיקר ממחסומי בושה וסגירות, הנאשם נטל אחריות על מעשיו, חסך את עדות המתלוננת, מורחק מביתו וממשפחתו למעלה משנתיים ומצוי תקופה ממושכת בתנאים מגבילים. בתוך כך הנאשם התקדם בכל מישורי חייו, עובד, מקיים קשר זוגי ומנהל אורח חיים יצרני ונורמטיבי. כעולה מחוות דעתה של מומחית ההגנה, הגב' מורן דוידיאן, המוטיבציה הטיפולית שמביע הנאשם כנה ואמיתית אך הליכי הטיפול צפויים להיות ארוכים ומורכבים, עם זאת, אף לשיטתה ראוי ליתן משקל נכבד לרצון המתלוננת לסיום ההליך בהקדם האפשרי.</w:t>
            </w:r>
          </w:p>
          <w:p w:rsidR="009A5FB3" w:rsidRDefault="009A5FB3" w:rsidP="009A5FB3">
            <w:pPr>
              <w:pStyle w:val="af"/>
              <w:rPr>
                <w:rFonts w:eastAsia="Times New Roman"/>
                <w:color w:val="000000"/>
                <w:rtl/>
              </w:rPr>
            </w:pPr>
          </w:p>
          <w:p w:rsidR="009A5FB3" w:rsidRDefault="009A5FB3" w:rsidP="009A5FB3">
            <w:pPr>
              <w:pStyle w:val="af"/>
              <w:numPr>
                <w:ilvl w:val="0"/>
                <w:numId w:val="3"/>
              </w:numPr>
              <w:spacing w:line="360" w:lineRule="auto"/>
              <w:jc w:val="both"/>
              <w:rPr>
                <w:rFonts w:eastAsia="Times New Roman"/>
                <w:color w:val="000000"/>
              </w:rPr>
            </w:pPr>
            <w:r>
              <w:rPr>
                <w:rFonts w:eastAsia="Times New Roman" w:hint="cs"/>
                <w:color w:val="000000"/>
                <w:rtl/>
              </w:rPr>
              <w:t>בהינתן מכלול הטעמים המפורטים לעיל, חומרת המעשים, העדרו של הליך טיפול  משמעותי, עמדת שי</w:t>
            </w:r>
            <w:r>
              <w:rPr>
                <w:rFonts w:hint="cs"/>
                <w:rtl/>
              </w:rPr>
              <w:t>רות המבחן שלא בא בהמלצה טיפולית</w:t>
            </w:r>
            <w:r>
              <w:rPr>
                <w:rFonts w:eastAsia="Times New Roman" w:hint="cs"/>
                <w:color w:val="000000"/>
                <w:rtl/>
              </w:rPr>
              <w:t>, הנזק שנגרם למתלוננת ו</w:t>
            </w:r>
            <w:r>
              <w:rPr>
                <w:rFonts w:hint="cs"/>
                <w:rtl/>
              </w:rPr>
              <w:t>ה</w:t>
            </w:r>
            <w:r>
              <w:rPr>
                <w:rFonts w:eastAsia="Times New Roman" w:hint="cs"/>
                <w:color w:val="000000"/>
                <w:rtl/>
              </w:rPr>
              <w:t xml:space="preserve">רצון שהביעה לסיום ההליך בהקדם לא מצאנו כי המקרה שבפנינו נופל בגדר מקרי השיקום המובהקים המאפשרים חריגה ממתחם הענישה מטעמי שיקום עד כדי הימנעות מעונש מאסר ממש. </w:t>
            </w:r>
            <w:r>
              <w:rPr>
                <w:rFonts w:hint="cs"/>
                <w:rtl/>
              </w:rPr>
              <w:t xml:space="preserve">הווה ידוע, כי ככל שהעבירה בה הורשע הנאשם ונסיבותיה חמורות יותר, כך גובר הנטל המוטל על הנאשם להראות הליך שיקומי מתקדם יותר, או סיכויי שיקום מובהקים יותר, כדי להצדיק חריגה לקולה ממתחם העונש ההולם (ע"פ 9036/18 </w:t>
            </w:r>
            <w:r>
              <w:rPr>
                <w:rFonts w:hint="cs"/>
                <w:b/>
                <w:bCs/>
                <w:rtl/>
              </w:rPr>
              <w:t>פלוני נ' מדינת ישראל</w:t>
            </w:r>
            <w:r>
              <w:rPr>
                <w:rFonts w:hint="cs"/>
                <w:rtl/>
              </w:rPr>
              <w:t xml:space="preserve"> (27.1.20)). כל זאת תוך </w:t>
            </w:r>
            <w:r>
              <w:rPr>
                <w:rFonts w:hint="cs"/>
                <w:rtl/>
              </w:rPr>
              <w:lastRenderedPageBreak/>
              <w:t xml:space="preserve">התחשבות אף בכך שהנאשם היה קטין בעת ביצוע העבירה. </w:t>
            </w:r>
            <w:r>
              <w:rPr>
                <w:rFonts w:hint="cs"/>
                <w:rtl/>
                <w:lang w:eastAsia="he-IL"/>
              </w:rPr>
              <w:t xml:space="preserve">עונש שאינו כולל מאסר ממש כעתירת ההגנה יוביל לפגיעה בלתי מידתית בעקרונות של הלימה והרתעת היחיד והרבים, ויפגע באינטרס שהעונש ישקף סלידת החברה מעבירות מין כלפי קטינים במשפחה (ראו </w:t>
            </w:r>
            <w:r>
              <w:rPr>
                <w:rFonts w:hint="cs"/>
                <w:rtl/>
              </w:rPr>
              <w:t xml:space="preserve">בע"פ 8068/21 </w:t>
            </w:r>
            <w:r>
              <w:rPr>
                <w:rFonts w:hint="cs"/>
                <w:b/>
                <w:bCs/>
                <w:rtl/>
              </w:rPr>
              <w:t>פלוני נ' מדינת ישראל</w:t>
            </w:r>
            <w:r>
              <w:rPr>
                <w:rFonts w:hint="cs"/>
                <w:rtl/>
              </w:rPr>
              <w:t xml:space="preserve"> (4.4.22) ובע"פ 9036/18 </w:t>
            </w:r>
            <w:r>
              <w:rPr>
                <w:rFonts w:hint="cs"/>
                <w:b/>
                <w:bCs/>
                <w:rtl/>
              </w:rPr>
              <w:t>פלוני נ' מדינת ישראל</w:t>
            </w:r>
            <w:r>
              <w:rPr>
                <w:rFonts w:hint="cs"/>
                <w:rtl/>
              </w:rPr>
              <w:t xml:space="preserve"> (27.1.18))</w:t>
            </w:r>
            <w:r>
              <w:rPr>
                <w:rFonts w:hint="cs"/>
                <w:rtl/>
                <w:lang w:eastAsia="he-IL"/>
              </w:rPr>
              <w:t xml:space="preserve">. </w:t>
            </w:r>
            <w:r>
              <w:rPr>
                <w:rFonts w:eastAsia="Times New Roman" w:hint="cs"/>
                <w:color w:val="000000"/>
                <w:rtl/>
              </w:rPr>
              <w:t>איננו מתעלמים, כמובן, מבקשת המתלוננת להקל בעונשו של אחיה הנאשם ולנתון זה יינתן משקל ממשי בגזירת עונשו.</w:t>
            </w:r>
          </w:p>
          <w:p w:rsidR="009A5FB3" w:rsidRDefault="009A5FB3" w:rsidP="009A5FB3">
            <w:pPr>
              <w:spacing w:line="360" w:lineRule="auto"/>
              <w:ind w:left="1068"/>
              <w:jc w:val="both"/>
              <w:rPr>
                <w:rFonts w:eastAsia="David"/>
                <w:rtl/>
              </w:rPr>
            </w:pPr>
          </w:p>
          <w:p w:rsidR="009A5FB3" w:rsidRDefault="009A5FB3" w:rsidP="009A5FB3">
            <w:pPr>
              <w:numPr>
                <w:ilvl w:val="0"/>
                <w:numId w:val="3"/>
              </w:numPr>
              <w:spacing w:line="360" w:lineRule="auto"/>
              <w:jc w:val="both"/>
              <w:rPr>
                <w:color w:val="000000"/>
                <w:rtl/>
              </w:rPr>
            </w:pPr>
            <w:r>
              <w:rPr>
                <w:color w:val="000000"/>
                <w:rtl/>
              </w:rPr>
              <w:t xml:space="preserve">בצד זאת לאחר שנתנו דעתנו לנסיבות הנאשם, הודאתו, גילו הצעיר במועד ביצוע העבירות, חלוף זמן ממושך מאז שחדל ממעשיו (כתשע שנים) והתנהלותו החיובית מאז, מצאנו בכל אלו בסיס לחריגה מסוימת ממתחם הענישה מטעמי שיקום. לכך נוסיף את עמדת המתלוננת, הערכת המסוכנות המינית שנקבעה ברף בינוני-נמוך, הערכת מומחית ההגנה כי סיכויי שיקומו גבוהים והתמיכה המלאה שמקבל ממשפחתו ומבת זוגו. </w:t>
            </w:r>
          </w:p>
          <w:p w:rsidR="009A5FB3" w:rsidRDefault="009A5FB3" w:rsidP="009A5FB3">
            <w:pPr>
              <w:spacing w:line="360" w:lineRule="auto"/>
              <w:ind w:left="1068"/>
              <w:jc w:val="both"/>
              <w:rPr>
                <w:color w:val="000000"/>
              </w:rPr>
            </w:pPr>
          </w:p>
          <w:p w:rsidR="009A5FB3" w:rsidRDefault="009A5FB3" w:rsidP="009A5FB3">
            <w:pPr>
              <w:spacing w:after="120" w:line="360" w:lineRule="auto"/>
              <w:ind w:left="861" w:hanging="720"/>
              <w:jc w:val="both"/>
              <w:rPr>
                <w:b/>
                <w:bCs/>
                <w:color w:val="000000"/>
                <w:u w:val="single"/>
              </w:rPr>
            </w:pPr>
            <w:r>
              <w:rPr>
                <w:b/>
                <w:bCs/>
                <w:color w:val="000000"/>
                <w:u w:val="single"/>
                <w:rtl/>
              </w:rPr>
              <w:t>הפיצוי הכספי</w:t>
            </w:r>
          </w:p>
          <w:p w:rsidR="009A5FB3" w:rsidRDefault="009A5FB3" w:rsidP="009A5FB3">
            <w:pPr>
              <w:numPr>
                <w:ilvl w:val="0"/>
                <w:numId w:val="3"/>
              </w:numPr>
              <w:spacing w:after="120" w:line="360" w:lineRule="auto"/>
              <w:jc w:val="both"/>
              <w:rPr>
                <w:color w:val="000000"/>
                <w:rtl/>
              </w:rPr>
            </w:pPr>
            <w:r>
              <w:rPr>
                <w:color w:val="000000"/>
                <w:rtl/>
              </w:rPr>
              <w:t xml:space="preserve">הנזק שנגרם למתלוננת נוכח המעשים שביצע בה הנאשם רב ומקיף את כל מישורי חייה, מדברי המתלוננת בפנינו התרשמו מנערה צעירה וחזקה, שיודעת לעמוד על שלה ולהתמודד עם השלכות פגיעת הנאשם בה. כעולה מדיווח הגורמים המטפלים בה, בשלב זה הפסיקה את הטיפול, סבלה מדיכאון והתקשתה לחזור לשגרת חיים רגילה.  החלטתה של המתלוננת בתמיכת אמה לחשוף את מעשיו הקשים של הנאשם כלפיה אמיצה וראויה להערכה רבה, חששה לשלמות משפחתה ושאיפתה לחזור לקשר תקין עם אחיה מובנים אך דרכה לשיקום מלא ארוכה ומורכבת. תכליותיו של הפיצוי בהליך הפלילי הן, בין היתר, לתת ביטוי והכרה חברתית, במסגרת ההליך הפלילי, למעמדם ולסבלם של נפגעי העבירה, ובמקביל ולהעניק סעד מהיר יחסית לנפגעי העבירה, במטרה לסייע להם בשיקום חייהם. מובן הדבר שאין בכך כדי לשלול אפשרות מנפגעי העבירה להגיש הליך אזרחי בגין מלוא נזקיהם, ואולם אין בכך כדי לגרוע מתכליותיו האמורות של הפיצוי הפלילי, עוד נקבע שאין להתחשב במצבו הכלכלי של הנאשם (ראו דנ"פ 5625/16 </w:t>
            </w:r>
            <w:r>
              <w:rPr>
                <w:b/>
                <w:bCs/>
                <w:color w:val="000000"/>
                <w:rtl/>
              </w:rPr>
              <w:t>אסרף נ' טווק</w:t>
            </w:r>
            <w:r>
              <w:rPr>
                <w:color w:val="000000"/>
                <w:rtl/>
              </w:rPr>
              <w:t xml:space="preserve"> פס' 14 (13.9.17) 14; ע"פ 2649/21 </w:t>
            </w:r>
            <w:r>
              <w:rPr>
                <w:b/>
                <w:bCs/>
                <w:color w:val="000000"/>
                <w:rtl/>
              </w:rPr>
              <w:t>סילברה נ' מדינת ישראל</w:t>
            </w:r>
            <w:r>
              <w:rPr>
                <w:color w:val="000000"/>
                <w:rtl/>
              </w:rPr>
              <w:t xml:space="preserve"> , פס' 26 (19.2.23)). בנסיבות המקרה הנוכחי, מצאנו כי יש להשית על הנאשם פיצוי לטובת המתלוננת שיסייע לה להשקיע זמן וכסף בשיקומה. עוד נתנו דעתנו לכך שהנאשם הוא בחור צעיר ומצבה הכלכלי של המשפחה אינו טוב.</w:t>
            </w:r>
          </w:p>
          <w:p w:rsidR="009A5FB3" w:rsidRDefault="009A5FB3" w:rsidP="009A5FB3">
            <w:pPr>
              <w:numPr>
                <w:ilvl w:val="0"/>
                <w:numId w:val="3"/>
              </w:numPr>
              <w:spacing w:line="360" w:lineRule="auto"/>
              <w:jc w:val="both"/>
              <w:rPr>
                <w:rFonts w:ascii="David" w:hAnsi="David"/>
                <w:color w:val="000000"/>
              </w:rPr>
            </w:pPr>
            <w:r>
              <w:rPr>
                <w:color w:val="000000"/>
                <w:rtl/>
              </w:rPr>
              <w:t>באיזון בין השיקולים השונים, אנו סבורים כי יש לגזור על הנאשם עונש מאסר בחריגה לקולא ממתחם הענישה ותוך איזון בין שיקולי הענישה השונים.</w:t>
            </w:r>
          </w:p>
          <w:p w:rsidR="009A5FB3" w:rsidRDefault="009A5FB3" w:rsidP="009A5FB3">
            <w:pPr>
              <w:spacing w:line="360" w:lineRule="auto"/>
              <w:ind w:left="1068"/>
              <w:jc w:val="both"/>
              <w:rPr>
                <w:color w:val="000000"/>
              </w:rPr>
            </w:pPr>
          </w:p>
          <w:p w:rsidR="009A5FB3" w:rsidRDefault="009A5FB3" w:rsidP="009A5FB3">
            <w:pPr>
              <w:spacing w:after="120" w:line="360" w:lineRule="auto"/>
              <w:jc w:val="both"/>
              <w:rPr>
                <w:b/>
                <w:bCs/>
                <w:u w:val="single"/>
              </w:rPr>
            </w:pPr>
            <w:r>
              <w:rPr>
                <w:b/>
                <w:bCs/>
                <w:u w:val="single"/>
                <w:rtl/>
              </w:rPr>
              <w:t>סוף דבר</w:t>
            </w:r>
          </w:p>
          <w:p w:rsidR="009A5FB3" w:rsidRDefault="009A5FB3" w:rsidP="009A5FB3">
            <w:pPr>
              <w:numPr>
                <w:ilvl w:val="0"/>
                <w:numId w:val="3"/>
              </w:numPr>
              <w:spacing w:after="120" w:line="360" w:lineRule="auto"/>
              <w:jc w:val="both"/>
              <w:rPr>
                <w:rFonts w:ascii="David" w:hAnsi="David"/>
                <w:color w:val="000000"/>
              </w:rPr>
            </w:pPr>
            <w:r>
              <w:rPr>
                <w:b/>
                <w:bCs/>
                <w:color w:val="000000"/>
                <w:u w:val="single"/>
                <w:rtl/>
              </w:rPr>
              <w:t>אשר על-כן, אנו גוזרים על הנאשם את העונשים הבאים</w:t>
            </w:r>
            <w:r>
              <w:rPr>
                <w:color w:val="000000"/>
                <w:rtl/>
              </w:rPr>
              <w:t>:</w:t>
            </w:r>
          </w:p>
          <w:p w:rsidR="009A5FB3" w:rsidRDefault="009A5FB3" w:rsidP="009A5FB3">
            <w:pPr>
              <w:numPr>
                <w:ilvl w:val="1"/>
                <w:numId w:val="5"/>
              </w:numPr>
              <w:tabs>
                <w:tab w:val="num" w:pos="1620"/>
              </w:tabs>
              <w:spacing w:after="120" w:line="360" w:lineRule="auto"/>
              <w:ind w:left="1287" w:hanging="539"/>
              <w:jc w:val="both"/>
              <w:rPr>
                <w:rtl/>
              </w:rPr>
            </w:pPr>
            <w:r>
              <w:rPr>
                <w:b/>
                <w:bCs/>
                <w:rtl/>
              </w:rPr>
              <w:t>24 חודשי מאסר בפועל</w:t>
            </w:r>
            <w:r>
              <w:rPr>
                <w:rtl/>
              </w:rPr>
              <w:t xml:space="preserve">, בניכוי ימי מעצרו מיום 27.7.22 עד 27.11.22. </w:t>
            </w:r>
          </w:p>
          <w:p w:rsidR="009A5FB3" w:rsidRDefault="009A5FB3" w:rsidP="009A5FB3">
            <w:pPr>
              <w:numPr>
                <w:ilvl w:val="1"/>
                <w:numId w:val="5"/>
              </w:numPr>
              <w:tabs>
                <w:tab w:val="num" w:pos="1620"/>
              </w:tabs>
              <w:spacing w:after="120" w:line="360" w:lineRule="auto"/>
              <w:ind w:left="1287" w:hanging="540"/>
              <w:jc w:val="both"/>
            </w:pPr>
            <w:r>
              <w:rPr>
                <w:rtl/>
              </w:rPr>
              <w:lastRenderedPageBreak/>
              <w:t>12 חודשי מאסר על תנאי, לבל יעבור הנאשם במשך 3 שנים מיום שחרורו ממאסר כל עבירת מין מסוג פשע.</w:t>
            </w:r>
          </w:p>
          <w:p w:rsidR="009A5FB3" w:rsidRDefault="009A5FB3" w:rsidP="009A5FB3">
            <w:pPr>
              <w:numPr>
                <w:ilvl w:val="1"/>
                <w:numId w:val="5"/>
              </w:numPr>
              <w:tabs>
                <w:tab w:val="num" w:pos="1620"/>
              </w:tabs>
              <w:spacing w:after="120" w:line="360" w:lineRule="auto"/>
              <w:ind w:left="1287" w:hanging="540"/>
              <w:jc w:val="both"/>
            </w:pPr>
            <w:r>
              <w:rPr>
                <w:rtl/>
              </w:rPr>
              <w:t>6 חודשי מאסר על תנאי, לבל יעבור הנאשם במשך שנתיים מיום שחרורו ממאסר כל עבירת מין מסוג עוון.</w:t>
            </w:r>
          </w:p>
          <w:p w:rsidR="009A5FB3" w:rsidRDefault="009A5FB3" w:rsidP="009A5FB3">
            <w:pPr>
              <w:numPr>
                <w:ilvl w:val="1"/>
                <w:numId w:val="5"/>
              </w:numPr>
              <w:tabs>
                <w:tab w:val="num" w:pos="1620"/>
              </w:tabs>
              <w:spacing w:after="120" w:line="360" w:lineRule="auto"/>
              <w:ind w:left="1287" w:hanging="540"/>
              <w:jc w:val="both"/>
              <w:rPr>
                <w:lang w:eastAsia="he-IL"/>
              </w:rPr>
            </w:pPr>
            <w:r>
              <w:rPr>
                <w:rtl/>
                <w:lang w:eastAsia="he-IL"/>
              </w:rPr>
              <w:t xml:space="preserve">פיצוי בסך 50,00 ₪ למתלוננת. הפיצוי ישולם ב-25 תשלומים חודשיים שווים ורצופים, החל מיום 10.11.24. אם לא ישולם תשלום כלשהו במועדו, תעמוד היתרה לפירעון מיידי. </w:t>
            </w:r>
          </w:p>
          <w:p w:rsidR="009A5FB3" w:rsidRDefault="009A5FB3" w:rsidP="009A5FB3">
            <w:pPr>
              <w:spacing w:after="120" w:line="360" w:lineRule="auto"/>
              <w:ind w:left="720"/>
              <w:jc w:val="both"/>
              <w:rPr>
                <w:color w:val="000000"/>
                <w:lang w:eastAsia="he-IL"/>
              </w:rPr>
            </w:pPr>
          </w:p>
          <w:p w:rsidR="009A5FB3" w:rsidRDefault="009A5FB3" w:rsidP="009A5FB3">
            <w:pPr>
              <w:spacing w:after="120" w:line="360" w:lineRule="auto"/>
              <w:ind w:left="720"/>
              <w:jc w:val="both"/>
              <w:rPr>
                <w:color w:val="000000"/>
                <w:rtl/>
                <w:lang w:eastAsia="he-IL"/>
              </w:rPr>
            </w:pPr>
            <w:r>
              <w:rPr>
                <w:color w:val="000000"/>
                <w:rtl/>
                <w:lang w:eastAsia="he-IL"/>
              </w:rPr>
              <w:t>הנאשם יתייצב לריצוי מאסר ביום 18.11.24 עד השעה 10:00 בבית הסוהר הדרים כשברשותו תעודת זהות.</w:t>
            </w:r>
          </w:p>
          <w:p w:rsidR="009A5FB3" w:rsidRDefault="009A5FB3" w:rsidP="009A5FB3">
            <w:pPr>
              <w:spacing w:after="120" w:line="360" w:lineRule="auto"/>
              <w:ind w:left="720"/>
              <w:jc w:val="both"/>
              <w:rPr>
                <w:color w:val="000000"/>
                <w:lang w:eastAsia="he-IL"/>
              </w:rPr>
            </w:pPr>
            <w:r>
              <w:rPr>
                <w:color w:val="000000"/>
                <w:rtl/>
                <w:lang w:eastAsia="he-IL"/>
              </w:rPr>
              <w:t xml:space="preserve">מזכירות בית המשפט תמציא העתק גזר הדין לשירות המבחן. </w:t>
            </w:r>
          </w:p>
          <w:p w:rsidR="009A5FB3" w:rsidRDefault="009A5FB3" w:rsidP="009A5FB3">
            <w:pPr>
              <w:spacing w:after="120" w:line="360" w:lineRule="auto"/>
              <w:ind w:firstLine="360"/>
              <w:jc w:val="both"/>
              <w:rPr>
                <w:b/>
                <w:bCs/>
                <w:rtl/>
                <w:lang w:eastAsia="he-IL"/>
              </w:rPr>
            </w:pPr>
            <w:r>
              <w:rPr>
                <w:b/>
                <w:bCs/>
                <w:rtl/>
                <w:lang w:eastAsia="he-IL"/>
              </w:rPr>
              <w:tab/>
              <w:t xml:space="preserve">זכות ערעור לבית-המשפט העליון תוך 45 ימים. </w:t>
            </w:r>
          </w:p>
          <w:p w:rsidR="009A5FB3" w:rsidRDefault="009A5FB3" w:rsidP="009A5FB3">
            <w:pPr>
              <w:rPr>
                <w:rFonts w:eastAsia="David"/>
                <w:rtl/>
              </w:rPr>
            </w:pPr>
          </w:p>
          <w:p w:rsidR="009A5FB3" w:rsidRDefault="009A5FB3" w:rsidP="009A5FB3">
            <w:pPr>
              <w:rPr>
                <w:rtl/>
              </w:rPr>
            </w:pPr>
          </w:p>
          <w:p w:rsidR="009A5FB3" w:rsidRDefault="009A5FB3" w:rsidP="009A5FB3">
            <w:pPr>
              <w:rPr>
                <w:rFonts w:ascii="Arial" w:hAnsi="Arial"/>
                <w:b/>
                <w:bCs/>
                <w:sz w:val="26"/>
                <w:szCs w:val="26"/>
              </w:rPr>
            </w:pPr>
          </w:p>
          <w:p w:rsidR="009A5FB3" w:rsidRDefault="009A5FB3" w:rsidP="009A5FB3">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י"ג אלול תשפ"ד</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16 ספטמבר 2024</w:t>
                </w:r>
              </w:sdtContent>
            </w:sdt>
            <w:r>
              <w:rPr>
                <w:rFonts w:ascii="Arial" w:hAnsi="Arial"/>
                <w:b/>
                <w:bCs/>
                <w:sz w:val="26"/>
                <w:szCs w:val="26"/>
                <w:rtl/>
              </w:rPr>
              <w:t>, בנוכחות הצדדים.</w:t>
            </w:r>
          </w:p>
          <w:p w:rsidR="009A5FB3" w:rsidRDefault="009A5FB3" w:rsidP="009A5FB3">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8E84081310804170AF79EE10EBD22F93"/>
                </w:placeholder>
                <w:showingPlcHdr/>
                <w:text w:multiLine="1"/>
              </w:sdtPr>
              <w:sdtEndPr/>
              <w:sdtContent>
                <w:r>
                  <w:rPr>
                    <w:rFonts w:ascii="Arial" w:hAnsi="Arial"/>
                    <w:b/>
                    <w:bCs/>
                    <w:sz w:val="26"/>
                    <w:szCs w:val="26"/>
                    <w:rtl/>
                  </w:rPr>
                  <w:t xml:space="preserve">    </w:t>
                </w:r>
              </w:sdtContent>
            </w:sdt>
          </w:p>
          <w:p w:rsidR="009A5FB3" w:rsidRDefault="009A5FB3" w:rsidP="009A5FB3">
            <w:pPr>
              <w:rPr>
                <w:rFonts w:cstheme="minorBidi"/>
                <w:sz w:val="28"/>
                <w:szCs w:val="28"/>
                <w:rtl/>
              </w:rPr>
            </w:pPr>
            <w:r>
              <w:rPr>
                <w:rFonts w:ascii="Arial" w:hAnsi="Arial"/>
                <w:b/>
                <w:bCs/>
                <w:sz w:val="26"/>
                <w:szCs w:val="26"/>
                <w:rtl/>
              </w:rPr>
              <w:t xml:space="preserve">   </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p w:rsidR="009A5FB3" w:rsidRDefault="009A5FB3" w:rsidP="009A5FB3">
            <w:pPr>
              <w:spacing w:line="360" w:lineRule="auto"/>
              <w:rPr>
                <w:sz w:val="22"/>
                <w:szCs w:val="22"/>
              </w:rPr>
            </w:pPr>
          </w:p>
          <w:tbl>
            <w:tblPr>
              <w:tblStyle w:val="ab"/>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9A5FB3" w:rsidTr="009A5FB3">
              <w:tc>
                <w:tcPr>
                  <w:tcW w:w="3383" w:type="dxa"/>
                  <w:hideMark/>
                </w:tcPr>
                <w:p w:rsidR="009A5FB3" w:rsidRDefault="006B6733" w:rsidP="009A5FB3">
                  <w:pPr>
                    <w:jc w:val="center"/>
                    <w:rPr>
                      <w:sz w:val="20"/>
                      <w:szCs w:val="20"/>
                      <w:rtl/>
                    </w:rPr>
                  </w:pPr>
                  <w:sdt>
                    <w:sdtPr>
                      <w:rPr>
                        <w:rFonts w:cs="Times New Roman"/>
                        <w:sz w:val="20"/>
                        <w:szCs w:val="20"/>
                        <w:rtl/>
                      </w:rPr>
                      <w:alias w:val="MergeField"/>
                      <w:tag w:val="2250"/>
                      <w:id w:val="-130406988"/>
                    </w:sdtPr>
                    <w:sdtEndPr/>
                    <w:sdtContent>
                      <w:r w:rsidR="009A5FB3">
                        <w:rPr>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sdtContent>
                  </w:sdt>
                </w:p>
              </w:tc>
              <w:tc>
                <w:tcPr>
                  <w:tcW w:w="3536" w:type="dxa"/>
                </w:tcPr>
                <w:p w:rsidR="009A5FB3" w:rsidRDefault="009A5FB3" w:rsidP="009A5FB3">
                  <w:pPr>
                    <w:spacing w:line="360" w:lineRule="auto"/>
                    <w:jc w:val="center"/>
                    <w:rPr>
                      <w:rFonts w:ascii="David" w:hAnsi="David"/>
                      <w:sz w:val="20"/>
                      <w:szCs w:val="20"/>
                      <w:rtl/>
                    </w:rPr>
                  </w:pPr>
                </w:p>
                <w:sdt>
                  <w:sdtPr>
                    <w:rPr>
                      <w:rFonts w:cs="Times New Roman" w:hint="cs"/>
                      <w:sz w:val="20"/>
                      <w:szCs w:val="20"/>
                      <w:rtl/>
                    </w:rPr>
                    <w:alias w:val="MergeField"/>
                    <w:tag w:val="2251"/>
                    <w:id w:val="-1271314896"/>
                  </w:sdtPr>
                  <w:sdtEndPr/>
                  <w:sdtContent>
                    <w:p w:rsidR="009A5FB3" w:rsidRDefault="009A5FB3" w:rsidP="009A5FB3">
                      <w:pPr>
                        <w:jc w:val="center"/>
                        <w:rPr>
                          <w:rFonts w:cs="Times New Roman"/>
                          <w:sz w:val="20"/>
                          <w:szCs w:val="20"/>
                        </w:rPr>
                      </w:pPr>
                      <w:r>
                        <w:rPr>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9A5FB3" w:rsidRDefault="009A5FB3" w:rsidP="009A5FB3">
                      <w:pPr>
                        <w:jc w:val="center"/>
                        <w:rPr>
                          <w:sz w:val="20"/>
                          <w:szCs w:val="20"/>
                          <w:rtl/>
                        </w:rPr>
                      </w:pPr>
                      <w:r>
                        <w:rPr>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9A5FB3" w:rsidTr="009A5FB3">
              <w:tc>
                <w:tcPr>
                  <w:tcW w:w="3383" w:type="dxa"/>
                  <w:hideMark/>
                </w:tcPr>
                <w:p w:rsidR="009A5FB3" w:rsidRDefault="006B6733" w:rsidP="009A5FB3">
                  <w:pPr>
                    <w:spacing w:line="360" w:lineRule="auto"/>
                    <w:jc w:val="center"/>
                    <w:rPr>
                      <w:rFonts w:ascii="David" w:hAnsi="David"/>
                    </w:rPr>
                  </w:pPr>
                  <w:sdt>
                    <w:sdtPr>
                      <w:rPr>
                        <w:rtl/>
                      </w:rPr>
                      <w:alias w:val="2235"/>
                      <w:tag w:val="2235"/>
                      <w:id w:val="1100069598"/>
                    </w:sdtPr>
                    <w:sdtEndPr/>
                    <w:sdtContent>
                      <w:r w:rsidR="009A5FB3">
                        <w:rPr>
                          <w:rFonts w:ascii="David" w:hAnsi="David"/>
                          <w:rtl/>
                        </w:rPr>
                        <w:t>עמי</w:t>
                      </w:r>
                    </w:sdtContent>
                  </w:sdt>
                  <w:r w:rsidR="009A5FB3">
                    <w:rPr>
                      <w:rFonts w:ascii="David" w:hAnsi="David"/>
                      <w:rtl/>
                    </w:rPr>
                    <w:t xml:space="preserve">  </w:t>
                  </w:r>
                  <w:sdt>
                    <w:sdtPr>
                      <w:rPr>
                        <w:rFonts w:cs="Times New Roman" w:hint="cs"/>
                        <w:rtl/>
                      </w:rPr>
                      <w:alias w:val="2240"/>
                      <w:tag w:val="2240"/>
                      <w:id w:val="825638415"/>
                    </w:sdtPr>
                    <w:sdtEndPr/>
                    <w:sdtContent>
                      <w:r w:rsidR="009A5FB3">
                        <w:rPr>
                          <w:rFonts w:ascii="David" w:hAnsi="David"/>
                          <w:rtl/>
                        </w:rPr>
                        <w:t>קובו</w:t>
                      </w:r>
                    </w:sdtContent>
                  </w:sdt>
                  <w:r w:rsidR="009A5FB3">
                    <w:rPr>
                      <w:rFonts w:ascii="David" w:hAnsi="David"/>
                      <w:rtl/>
                    </w:rPr>
                    <w:t xml:space="preserve">, </w:t>
                  </w:r>
                  <w:sdt>
                    <w:sdtPr>
                      <w:rPr>
                        <w:rFonts w:cs="Times New Roman" w:hint="cs"/>
                        <w:rtl/>
                      </w:rPr>
                      <w:alias w:val="2245"/>
                      <w:tag w:val="2245"/>
                      <w:id w:val="533847746"/>
                    </w:sdtPr>
                    <w:sdtEndPr/>
                    <w:sdtContent>
                      <w:r w:rsidR="009A5FB3">
                        <w:rPr>
                          <w:rFonts w:ascii="David" w:hAnsi="David"/>
                          <w:rtl/>
                        </w:rPr>
                        <w:t xml:space="preserve">שופט,                             סגן הנשיאה, </w:t>
                      </w:r>
                    </w:sdtContent>
                  </w:sdt>
                </w:p>
              </w:tc>
              <w:tc>
                <w:tcPr>
                  <w:tcW w:w="3536" w:type="dxa"/>
                  <w:hideMark/>
                </w:tcPr>
                <w:p w:rsidR="009A5FB3" w:rsidRDefault="006B6733" w:rsidP="009A5FB3">
                  <w:pPr>
                    <w:spacing w:line="360" w:lineRule="auto"/>
                    <w:jc w:val="center"/>
                    <w:rPr>
                      <w:rFonts w:ascii="David" w:hAnsi="David"/>
                    </w:rPr>
                  </w:pPr>
                  <w:sdt>
                    <w:sdtPr>
                      <w:rPr>
                        <w:rtl/>
                      </w:rPr>
                      <w:alias w:val="2236"/>
                      <w:tag w:val="2236"/>
                      <w:id w:val="639300144"/>
                    </w:sdtPr>
                    <w:sdtEndPr/>
                    <w:sdtContent>
                      <w:r w:rsidR="009A5FB3">
                        <w:rPr>
                          <w:rFonts w:ascii="David" w:hAnsi="David"/>
                          <w:rtl/>
                        </w:rPr>
                        <w:t>מיכאל</w:t>
                      </w:r>
                    </w:sdtContent>
                  </w:sdt>
                  <w:r w:rsidR="009A5FB3">
                    <w:rPr>
                      <w:rFonts w:ascii="David" w:hAnsi="David"/>
                      <w:rtl/>
                    </w:rPr>
                    <w:t xml:space="preserve"> </w:t>
                  </w:r>
                  <w:sdt>
                    <w:sdtPr>
                      <w:rPr>
                        <w:rFonts w:cs="Times New Roman" w:hint="cs"/>
                        <w:rtl/>
                      </w:rPr>
                      <w:alias w:val="2241"/>
                      <w:tag w:val="2241"/>
                      <w:id w:val="-2097088705"/>
                    </w:sdtPr>
                    <w:sdtEndPr/>
                    <w:sdtContent>
                      <w:r w:rsidR="009A5FB3">
                        <w:rPr>
                          <w:rFonts w:ascii="David" w:hAnsi="David"/>
                          <w:rtl/>
                        </w:rPr>
                        <w:t>קרשן</w:t>
                      </w:r>
                    </w:sdtContent>
                  </w:sdt>
                  <w:r w:rsidR="009A5FB3">
                    <w:rPr>
                      <w:rFonts w:ascii="David" w:hAnsi="David"/>
                      <w:rtl/>
                    </w:rPr>
                    <w:t xml:space="preserve">, </w:t>
                  </w:r>
                  <w:sdt>
                    <w:sdtPr>
                      <w:rPr>
                        <w:rFonts w:cs="Times New Roman" w:hint="cs"/>
                        <w:rtl/>
                      </w:rPr>
                      <w:alias w:val="2246"/>
                      <w:tag w:val="2246"/>
                      <w:id w:val="-1989393221"/>
                    </w:sdtPr>
                    <w:sdtEndPr/>
                    <w:sdtContent>
                      <w:r w:rsidR="009A5FB3">
                        <w:rPr>
                          <w:rFonts w:ascii="David" w:hAnsi="David"/>
                          <w:rtl/>
                        </w:rPr>
                        <w:t>שופט</w:t>
                      </w:r>
                    </w:sdtContent>
                  </w:sdt>
                </w:p>
              </w:tc>
              <w:tc>
                <w:tcPr>
                  <w:tcW w:w="3341" w:type="dxa"/>
                  <w:hideMark/>
                </w:tcPr>
                <w:p w:rsidR="009A5FB3" w:rsidRDefault="006B6733" w:rsidP="009A5FB3">
                  <w:pPr>
                    <w:spacing w:line="360" w:lineRule="auto"/>
                    <w:jc w:val="center"/>
                    <w:rPr>
                      <w:rFonts w:ascii="David" w:hAnsi="David"/>
                      <w:rtl/>
                    </w:rPr>
                  </w:pPr>
                  <w:sdt>
                    <w:sdtPr>
                      <w:rPr>
                        <w:rtl/>
                      </w:rPr>
                      <w:alias w:val="2237"/>
                      <w:tag w:val="2237"/>
                      <w:id w:val="-31890643"/>
                    </w:sdtPr>
                    <w:sdtEndPr/>
                    <w:sdtContent>
                      <w:r w:rsidR="009A5FB3">
                        <w:rPr>
                          <w:rFonts w:ascii="David" w:hAnsi="David"/>
                          <w:rtl/>
                        </w:rPr>
                        <w:t>מרב</w:t>
                      </w:r>
                    </w:sdtContent>
                  </w:sdt>
                  <w:r w:rsidR="009A5FB3">
                    <w:rPr>
                      <w:rFonts w:ascii="David" w:hAnsi="David"/>
                      <w:rtl/>
                    </w:rPr>
                    <w:t xml:space="preserve"> </w:t>
                  </w:r>
                  <w:sdt>
                    <w:sdtPr>
                      <w:rPr>
                        <w:rFonts w:cs="Times New Roman" w:hint="cs"/>
                        <w:rtl/>
                      </w:rPr>
                      <w:alias w:val="2242"/>
                      <w:tag w:val="2242"/>
                      <w:id w:val="358854881"/>
                    </w:sdtPr>
                    <w:sdtEndPr/>
                    <w:sdtContent>
                      <w:r w:rsidR="009A5FB3">
                        <w:rPr>
                          <w:rFonts w:ascii="David" w:hAnsi="David"/>
                          <w:rtl/>
                        </w:rPr>
                        <w:t>גרינברג</w:t>
                      </w:r>
                    </w:sdtContent>
                  </w:sdt>
                  <w:r w:rsidR="009A5FB3">
                    <w:rPr>
                      <w:rFonts w:ascii="David" w:hAnsi="David"/>
                      <w:rtl/>
                    </w:rPr>
                    <w:t xml:space="preserve">, </w:t>
                  </w:r>
                  <w:sdt>
                    <w:sdtPr>
                      <w:rPr>
                        <w:rFonts w:cs="Times New Roman" w:hint="cs"/>
                        <w:rtl/>
                      </w:rPr>
                      <w:alias w:val="2247"/>
                      <w:tag w:val="2247"/>
                      <w:id w:val="243227774"/>
                    </w:sdtPr>
                    <w:sdtEndPr/>
                    <w:sdtContent>
                      <w:r w:rsidR="009A5FB3">
                        <w:rPr>
                          <w:rFonts w:ascii="David" w:hAnsi="David"/>
                          <w:rtl/>
                        </w:rPr>
                        <w:t>שופטת</w:t>
                      </w:r>
                    </w:sdtContent>
                  </w:sdt>
                </w:p>
              </w:tc>
            </w:tr>
          </w:tbl>
          <w:p w:rsidR="009A5FB3" w:rsidRDefault="009A5FB3" w:rsidP="009A5FB3">
            <w:pPr>
              <w:spacing w:line="360" w:lineRule="auto"/>
              <w:jc w:val="both"/>
              <w:rPr>
                <w:rFonts w:asciiTheme="minorHAnsi" w:hAnsiTheme="minorHAnsi" w:cstheme="minorBidi"/>
                <w:sz w:val="22"/>
                <w:szCs w:val="22"/>
                <w:rtl/>
              </w:rPr>
            </w:pPr>
            <w:r>
              <w:rPr>
                <w:rtl/>
              </w:rPr>
              <w:t xml:space="preserve"> </w:t>
            </w:r>
          </w:p>
          <w:p w:rsidR="009A5FB3" w:rsidRDefault="009A5FB3" w:rsidP="009A5FB3">
            <w:pPr>
              <w:jc w:val="center"/>
              <w:rPr>
                <w:rFonts w:ascii="Arial" w:hAnsi="Arial"/>
                <w:b/>
                <w:bCs/>
                <w:sz w:val="26"/>
                <w:szCs w:val="26"/>
                <w:rtl/>
              </w:rPr>
            </w:pPr>
          </w:p>
          <w:p w:rsidR="00D44968" w:rsidRPr="00D44968" w:rsidRDefault="00D44968" w:rsidP="00D44968">
            <w:pPr>
              <w:bidi w:val="0"/>
              <w:jc w:val="cente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0" w:name="NGCSBookmark"/>
      <w:bookmarkEnd w:id="0"/>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sectPr w:rsidR="00694556" w:rsidRPr="00B95D6E" w:rsidSect="00891F42">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733" w:rsidRDefault="006B6733">
      <w:r>
        <w:separator/>
      </w:r>
    </w:p>
  </w:endnote>
  <w:endnote w:type="continuationSeparator" w:id="0">
    <w:p w:rsidR="006B6733" w:rsidRDefault="006B6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FB3" w:rsidRDefault="009A5FB3">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6"/>
      <w:jc w:val="center"/>
      <w:rPr>
        <w:rStyle w:val="ad"/>
        <w:rFonts w:ascii="David" w:hAnsi="David"/>
      </w:rPr>
    </w:pPr>
    <w:r w:rsidRPr="00E765F7">
      <w:rPr>
        <w:rStyle w:val="ad"/>
        <w:rFonts w:ascii="David" w:hAnsi="David"/>
      </w:rPr>
      <w:fldChar w:fldCharType="begin"/>
    </w:r>
    <w:r w:rsidR="00005C8B" w:rsidRPr="00E765F7">
      <w:rPr>
        <w:rStyle w:val="ad"/>
        <w:rFonts w:ascii="David" w:hAnsi="David"/>
      </w:rPr>
      <w:instrText xml:space="preserve"> PAGE </w:instrText>
    </w:r>
    <w:r w:rsidRPr="00E765F7">
      <w:rPr>
        <w:rStyle w:val="ad"/>
        <w:rFonts w:ascii="David" w:hAnsi="David"/>
      </w:rPr>
      <w:fldChar w:fldCharType="separate"/>
    </w:r>
    <w:r w:rsidR="00AF7B01">
      <w:rPr>
        <w:rStyle w:val="ad"/>
        <w:rFonts w:ascii="David" w:hAnsi="David"/>
        <w:rtl/>
      </w:rPr>
      <w:t>1</w:t>
    </w:r>
    <w:r w:rsidRPr="00E765F7">
      <w:rPr>
        <w:rStyle w:val="ad"/>
        <w:rFonts w:ascii="David" w:hAnsi="David"/>
      </w:rPr>
      <w:fldChar w:fldCharType="end"/>
    </w:r>
    <w:r w:rsidR="00005C8B" w:rsidRPr="00E765F7">
      <w:rPr>
        <w:rStyle w:val="ad"/>
        <w:rFonts w:ascii="David" w:hAnsi="David"/>
        <w:rtl/>
      </w:rPr>
      <w:t xml:space="preserve"> מתוך </w:t>
    </w:r>
    <w:r w:rsidRPr="00E765F7">
      <w:rPr>
        <w:rStyle w:val="ad"/>
        <w:rFonts w:ascii="David" w:hAnsi="David"/>
      </w:rPr>
      <w:fldChar w:fldCharType="begin"/>
    </w:r>
    <w:r w:rsidR="00005C8B" w:rsidRPr="00E765F7">
      <w:rPr>
        <w:rStyle w:val="ad"/>
        <w:rFonts w:ascii="David" w:hAnsi="David"/>
      </w:rPr>
      <w:instrText xml:space="preserve"> NUMPAGES </w:instrText>
    </w:r>
    <w:r w:rsidRPr="00E765F7">
      <w:rPr>
        <w:rStyle w:val="ad"/>
        <w:rFonts w:ascii="David" w:hAnsi="David"/>
      </w:rPr>
      <w:fldChar w:fldCharType="separate"/>
    </w:r>
    <w:r w:rsidR="00AF7B01">
      <w:rPr>
        <w:rStyle w:val="ad"/>
        <w:rFonts w:ascii="David" w:hAnsi="David"/>
        <w:rtl/>
      </w:rPr>
      <w:t>12</w:t>
    </w:r>
    <w:r w:rsidRPr="00E765F7">
      <w:rPr>
        <w:rStyle w:val="ad"/>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FB3" w:rsidRDefault="009A5FB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733" w:rsidRDefault="006B6733">
      <w:r>
        <w:separator/>
      </w:r>
    </w:p>
  </w:footnote>
  <w:footnote w:type="continuationSeparator" w:id="0">
    <w:p w:rsidR="006B6733" w:rsidRDefault="006B6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FB3" w:rsidRDefault="009A5FB3">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7D45E3" w:rsidRDefault="006B6733" w:rsidP="009A5FB3">
          <w:pPr>
            <w:rPr>
              <w:b/>
              <w:bCs/>
              <w:noProof w:val="0"/>
              <w:sz w:val="26"/>
              <w:szCs w:val="26"/>
              <w:rtl/>
            </w:rPr>
          </w:pPr>
          <w:sdt>
            <w:sdtPr>
              <w:rPr>
                <w:rtl/>
              </w:rPr>
              <w:alias w:val="1170"/>
              <w:tag w:val="1170"/>
              <w:id w:val="1066377040"/>
              <w:text w:multiLine="1"/>
            </w:sdtPr>
            <w:sdtEndPr/>
            <w:sdtContent>
              <w:proofErr w:type="spellStart"/>
              <w:r w:rsidR="00E765F7">
                <w:rPr>
                  <w:b/>
                  <w:bCs/>
                  <w:noProof w:val="0"/>
                  <w:sz w:val="26"/>
                  <w:szCs w:val="26"/>
                  <w:rtl/>
                </w:rPr>
                <w:t>תפח"ע</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18971-08-22</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9A5FB3">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FB3" w:rsidRDefault="009A5FB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A2647D26"/>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6CB2122"/>
    <w:multiLevelType w:val="hybridMultilevel"/>
    <w:tmpl w:val="0CE64F82"/>
    <w:lvl w:ilvl="0" w:tplc="0409000F">
      <w:start w:val="1"/>
      <w:numFmt w:val="decimal"/>
      <w:lvlText w:val="%1."/>
      <w:lvlJc w:val="left"/>
      <w:pPr>
        <w:ind w:left="1068" w:hanging="360"/>
      </w:pPr>
    </w:lvl>
    <w:lvl w:ilvl="1" w:tplc="93B61C2E">
      <w:start w:val="1"/>
      <w:numFmt w:val="hebrew1"/>
      <w:lvlText w:val="%2."/>
      <w:lvlJc w:val="left"/>
      <w:pPr>
        <w:ind w:left="1440" w:hanging="360"/>
      </w:pPr>
      <w:rPr>
        <w:rFonts w:ascii="Times New Roman" w:eastAsia="Calibri"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C5E6DF5"/>
    <w:multiLevelType w:val="hybridMultilevel"/>
    <w:tmpl w:val="83A01688"/>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D2D6C2D"/>
    <w:multiLevelType w:val="hybridMultilevel"/>
    <w:tmpl w:val="43F0D706"/>
    <w:lvl w:ilvl="0" w:tplc="0409000F">
      <w:start w:val="1"/>
      <w:numFmt w:val="decimal"/>
      <w:lvlText w:val="%1."/>
      <w:lvlJc w:val="left"/>
      <w:pPr>
        <w:ind w:left="1068" w:hanging="360"/>
      </w:pPr>
    </w:lvl>
    <w:lvl w:ilvl="1" w:tplc="93B61C2E">
      <w:start w:val="1"/>
      <w:numFmt w:val="hebrew1"/>
      <w:lvlText w:val="%2."/>
      <w:lvlJc w:val="left"/>
      <w:pPr>
        <w:ind w:left="1440" w:hanging="360"/>
      </w:pPr>
      <w:rPr>
        <w:rFonts w:ascii="Times New Roman" w:eastAsia="Calibri"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32C2092"/>
    <w:multiLevelType w:val="hybridMultilevel"/>
    <w:tmpl w:val="9F282E80"/>
    <w:lvl w:ilvl="0" w:tplc="0409000F">
      <w:start w:val="1"/>
      <w:numFmt w:val="decimal"/>
      <w:lvlText w:val="%1."/>
      <w:lvlJc w:val="left"/>
      <w:pPr>
        <w:ind w:left="1068" w:hanging="360"/>
      </w:pPr>
    </w:lvl>
    <w:lvl w:ilvl="1" w:tplc="93B61C2E">
      <w:start w:val="1"/>
      <w:numFmt w:val="hebrew1"/>
      <w:lvlText w:val="%2."/>
      <w:lvlJc w:val="left"/>
      <w:pPr>
        <w:ind w:left="1440" w:hanging="360"/>
      </w:pPr>
      <w:rPr>
        <w:rFonts w:ascii="Times New Roman" w:eastAsia="Calibri"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089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08916&amp;lt;/CaseID&amp;gt;_x000d__x000a_        &amp;lt;CaseMonth&amp;gt;8&amp;lt;/CaseMonth&amp;gt;_x000d__x000a_        &amp;lt;CaseYear&amp;gt;2022&amp;lt;/CaseYear&amp;gt;_x000d__x000a_        &amp;lt;CaseNumber&amp;gt;18971&amp;lt;/CaseNumber&amp;gt;_x000d__x000a_        &amp;lt;NumeratorGroupID&amp;gt;1&amp;lt;/NumeratorGroupID&amp;gt;_x000d__x000a_        &amp;lt;CaseName&amp;gt;מדינת ישראל נ&amp;#39; כהן(אסור בפרסום)&amp;lt;/CaseName&amp;gt;_x000d__x000a_        &amp;lt;CourtID&amp;gt;896&amp;lt;/CourtID&amp;gt;_x000d__x000a_        &amp;lt;CaseTypeID&amp;gt;10284&amp;lt;/CaseTypeID&amp;gt;_x000d__x000a_        &amp;lt;CaseJudgeName&amp;gt;עמי קובו&amp;lt;/CaseJudgeName&amp;gt;_x000d__x000a_        &amp;lt;CaseLinkTypeID&amp;gt;10&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18971-08-22&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2-08-09T10:12:00+03: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זומנה הקלטה ליום 9.7.24 שעה 12:00 מלי.ג.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08916&amp;lt;/CaseID&amp;gt;_x000d__x000a_        &amp;lt;CaseMonth&amp;gt;8&amp;lt;/CaseMonth&amp;gt;_x000d__x000a_        &amp;lt;CaseYear&amp;gt;2022&amp;lt;/CaseYear&amp;gt;_x000d__x000a_        &amp;lt;CaseNumber&amp;gt;18971&amp;lt;/CaseNumber&amp;gt;_x000d__x000a_        &amp;lt;NumeratorGroupID&amp;gt;1&amp;lt;/NumeratorGroupID&amp;gt;_x000d__x000a_        &amp;lt;CaseName&amp;gt;מדינת ישראל נ&amp;#39; כהן(אסור בפרסום)&amp;lt;/CaseName&amp;gt;_x000d__x000a_        &amp;lt;CourtID&amp;gt;896&amp;lt;/CourtID&amp;gt;_x000d__x000a_        &amp;lt;CaseTypeID&amp;gt;10284&amp;lt;/CaseTypeID&amp;gt;_x000d__x000a_        &amp;lt;CaseJudgeName&amp;gt;עמי קובו&amp;lt;/CaseJudgeName&amp;gt;_x000d__x000a_        &amp;lt;CaseLinkTypeID&amp;gt;10&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18971-08-22&amp;lt;/CaseDisplayIdentifier&amp;gt;_x000d__x000a_        &amp;lt;CaseTypeDesc&amp;gt;תפח&amp;quot;ע&amp;lt;/CaseTypeDesc&amp;gt;_x000d__x000a_        &amp;lt;CourtDesc&amp;gt;המחוזי מרכז &amp;lt;/CourtDesc&amp;gt;_x000d__x000a_        &amp;lt;CaseStageDesc&amp;gt;תיק אלקטרוני&amp;lt;/CaseStageDesc&amp;gt;_x000d__x000a_        &amp;lt;CaseOpenDate&amp;gt;2022-08-09T10:12:00+03:00&amp;lt;/CaseOpenDate&amp;gt;_x000d__x000a_        &amp;lt;PleaTypeID&amp;gt;8&amp;lt;/PleaTypeID&amp;gt;_x000d__x000a_        &amp;lt;CourtLevelID&amp;gt;2&amp;lt;/CourtLevelID&amp;gt;_x000d__x000a_        &amp;lt;CourtLevelCaseTypeInterestID&amp;gt;1671&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זומנה הקלטה ליום 9.7.24 שעה 12:00 מלי.ג.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928337&amp;lt;/DecisionID&amp;gt;_x000d__x000a_        &amp;lt;DecisionName&amp;gt;החלטה  שניתנה ע&amp;quot;י  עמי קובו&amp;lt;/DecisionName&amp;gt;_x000d__x000a_        &amp;lt;DecisionStatusID&amp;gt;1&amp;lt;/DecisionStatusID&amp;gt;_x000d__x000a_        &amp;lt;DecisionStatusChangeDate&amp;gt;2024-09-16T11:03:47.78+03:00&amp;lt;/DecisionStatusChangeDate&amp;gt;_x000d__x000a_        &amp;lt;DecisionSignatureDate&amp;gt;2024-09-16T11:03:45.913+03:00&amp;lt;/DecisionSignatureDate&amp;gt;_x000d__x000a_        &amp;lt;DecisionSignatureUserID&amp;gt;029737269@GOV.IL&amp;lt;/DecisionSignatureUserID&amp;gt;_x000d__x000a_        &amp;lt;DecisionCreateDate&amp;gt;2024-09-16T11:01:19.42+03:00&amp;lt;/DecisionCreateDate&amp;gt;_x000d__x000a_        &amp;lt;DecisionChangeDate&amp;gt;2024-09-16T11:03:47.857+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527779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54928337&amp;lt;/DecisionID&amp;gt;_x000d__x000a_        &amp;lt;CaseID&amp;gt;79508916&amp;lt;/CaseID&amp;gt;_x000d__x000a_        &amp;lt;IsOriginal&amp;gt;true&amp;lt;/IsOriginal&amp;gt;_x000d__x000a_        &amp;lt;IsDeleted&amp;gt;false&amp;lt;/IsDeleted&amp;gt;_x000d__x000a_        &amp;lt;CaseName&amp;gt;מדינת ישראל נ&amp;#39; כהן(אסור בפרסום)&amp;lt;/CaseName&amp;gt;_x000d__x000a_        &amp;lt;CaseDisplayIdentifier&amp;gt;18971-08-22 תפח&amp;quot;ע&amp;lt;/CaseDisplayIdentifier&amp;gt;_x000d__x000a_      &amp;lt;/dt_DecisionCase&amp;gt;_x000d__x000a_      &amp;lt;dt_DecisionJudgePanel diffgr:id=&amp;quot;dt_DecisionJudgePanel1&amp;quot; msdata:rowOrder=&amp;quot;0&amp;quot;&amp;gt;_x000d__x000a_        &amp;lt;DecisionID&amp;gt;154928337&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928337&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928337&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4928337"/>
    <w:docVar w:name="docID" w:val="455277796"/>
    <w:docVar w:name="judgeUPN" w:val="029737269@GOV.IL"/>
    <w:docVar w:name="NGCS.TemplateCaseInterestID" w:val="-1"/>
    <w:docVar w:name="NGCS.TemplateCaseTypeID" w:val="10284"/>
    <w:docVar w:name="NGCS.TemplateCourtID" w:val="896"/>
    <w:docVar w:name="NGCS.TemplateProceedingID" w:val="2"/>
    <w:docVar w:name="noteDocID" w:val="455277796"/>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06543"/>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3BE4"/>
    <w:rsid w:val="0061431B"/>
    <w:rsid w:val="00622BAA"/>
    <w:rsid w:val="006306CF"/>
    <w:rsid w:val="006318D8"/>
    <w:rsid w:val="00644E9A"/>
    <w:rsid w:val="00671BD5"/>
    <w:rsid w:val="006805C1"/>
    <w:rsid w:val="00686C21"/>
    <w:rsid w:val="006931C1"/>
    <w:rsid w:val="00694556"/>
    <w:rsid w:val="006B6733"/>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A5FB3"/>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B01"/>
    <w:rsid w:val="00AF7FDA"/>
    <w:rsid w:val="00B21EAA"/>
    <w:rsid w:val="00B5356E"/>
    <w:rsid w:val="00B62AD7"/>
    <w:rsid w:val="00B66717"/>
    <w:rsid w:val="00B809AD"/>
    <w:rsid w:val="00B80CBD"/>
    <w:rsid w:val="00B8200F"/>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4">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1"/>
    <w:semiHidden/>
    <w:rsid w:val="00C64423"/>
    <w:rPr>
      <w:rFonts w:cs="Times New Roman"/>
      <w:noProof w:val="0"/>
    </w:rPr>
  </w:style>
  <w:style w:type="character" w:styleId="a9">
    <w:name w:val="annotation reference"/>
    <w:basedOn w:val="a2"/>
    <w:semiHidden/>
    <w:rsid w:val="00C64423"/>
    <w:rPr>
      <w:sz w:val="16"/>
      <w:szCs w:val="16"/>
    </w:rPr>
  </w:style>
  <w:style w:type="paragraph" w:styleId="aa">
    <w:name w:val="Balloon Text"/>
    <w:basedOn w:val="a1"/>
    <w:semiHidden/>
    <w:rsid w:val="00C64423"/>
    <w:rPr>
      <w:rFonts w:ascii="Tahoma" w:hAnsi="Tahoma" w:cs="Tahoma"/>
      <w:sz w:val="16"/>
      <w:szCs w:val="16"/>
    </w:rPr>
  </w:style>
  <w:style w:type="table" w:styleId="ab">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2"/>
    <w:rsid w:val="00C64423"/>
  </w:style>
  <w:style w:type="character" w:styleId="ad">
    <w:name w:val="page number"/>
    <w:basedOn w:val="a2"/>
    <w:rsid w:val="00C64423"/>
  </w:style>
  <w:style w:type="table" w:customStyle="1" w:styleId="1">
    <w:name w:val="טבלת רשת1"/>
    <w:basedOn w:val="a3"/>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2"/>
    <w:uiPriority w:val="99"/>
    <w:semiHidden/>
    <w:rsid w:val="003230C7"/>
    <w:rPr>
      <w:color w:val="808080"/>
    </w:rPr>
  </w:style>
  <w:style w:type="paragraph" w:styleId="a">
    <w:name w:val="List Number"/>
    <w:basedOn w:val="a1"/>
    <w:unhideWhenUsed/>
    <w:rsid w:val="009A5FB3"/>
    <w:pPr>
      <w:numPr>
        <w:numId w:val="1"/>
      </w:numPr>
      <w:spacing w:after="120" w:line="360" w:lineRule="auto"/>
      <w:ind w:right="360"/>
    </w:pPr>
    <w:rPr>
      <w:noProof w:val="0"/>
    </w:rPr>
  </w:style>
  <w:style w:type="paragraph" w:styleId="af">
    <w:name w:val="List Paragraph"/>
    <w:basedOn w:val="a1"/>
    <w:uiPriority w:val="34"/>
    <w:qFormat/>
    <w:rsid w:val="009A5FB3"/>
    <w:pPr>
      <w:ind w:left="720"/>
      <w:contextualSpacing/>
    </w:pPr>
    <w:rPr>
      <w:rFonts w:ascii="David" w:eastAsia="David" w:hAnsi="David"/>
      <w:noProof w:val="0"/>
    </w:rPr>
  </w:style>
  <w:style w:type="paragraph" w:customStyle="1" w:styleId="a0">
    <w:name w:val="ממוספר"/>
    <w:basedOn w:val="a1"/>
    <w:rsid w:val="009A5FB3"/>
    <w:pPr>
      <w:numPr>
        <w:numId w:val="2"/>
      </w:numPr>
      <w:spacing w:after="120" w:line="360" w:lineRule="auto"/>
    </w:pPr>
    <w:rPr>
      <w:rFonts w:ascii="David" w:hAnsi="David"/>
      <w:noProof w:val="0"/>
      <w:color w:val="000000"/>
    </w:rPr>
  </w:style>
  <w:style w:type="paragraph" w:customStyle="1" w:styleId="af0">
    <w:name w:val="כותרת"/>
    <w:basedOn w:val="a1"/>
    <w:next w:val="af1"/>
    <w:autoRedefine/>
    <w:rsid w:val="009A5FB3"/>
    <w:pPr>
      <w:spacing w:after="120" w:line="360" w:lineRule="auto"/>
      <w:ind w:firstLine="708"/>
      <w:jc w:val="both"/>
    </w:pPr>
    <w:rPr>
      <w:bCs/>
      <w:noProof w:val="0"/>
      <w:u w:val="single"/>
      <w:lang w:eastAsia="he-IL"/>
    </w:rPr>
  </w:style>
  <w:style w:type="character" w:customStyle="1" w:styleId="default">
    <w:name w:val="default"/>
    <w:rsid w:val="009A5FB3"/>
    <w:rPr>
      <w:rFonts w:ascii="Times New Roman" w:hAnsi="Times New Roman" w:cs="Times New Roman" w:hint="default"/>
      <w:sz w:val="26"/>
      <w:szCs w:val="26"/>
    </w:rPr>
  </w:style>
  <w:style w:type="paragraph" w:styleId="af1">
    <w:name w:val="List"/>
    <w:basedOn w:val="a1"/>
    <w:semiHidden/>
    <w:unhideWhenUsed/>
    <w:rsid w:val="009A5FB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21330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F0D1B1B8CDB6405FA2CA1B7689CEC57E"/>
        <w:category>
          <w:name w:val="כללי"/>
          <w:gallery w:val="placeholder"/>
        </w:category>
        <w:types>
          <w:type w:val="bbPlcHdr"/>
        </w:types>
        <w:behaviors>
          <w:behavior w:val="content"/>
        </w:behaviors>
        <w:guid w:val="{BC19A176-D1A8-4493-B568-D690E9EB8A51}"/>
      </w:docPartPr>
      <w:docPartBody>
        <w:p w:rsidR="0069470F" w:rsidRDefault="00A40747" w:rsidP="00A40747">
          <w:pPr>
            <w:pStyle w:val="F0D1B1B8CDB6405FA2CA1B7689CEC57E"/>
          </w:pPr>
          <w:r>
            <w:rPr>
              <w:rFonts w:ascii="Arial" w:hAnsi="Arial"/>
              <w:b/>
              <w:bCs/>
              <w:sz w:val="26"/>
              <w:szCs w:val="26"/>
              <w:rtl/>
            </w:rPr>
            <w:t>שם צד א' ללא שם של חסוי</w:t>
          </w:r>
        </w:p>
      </w:docPartBody>
    </w:docPart>
    <w:docPart>
      <w:docPartPr>
        <w:name w:val="13682CB4E0334265BAC5C002EFE7FE54"/>
        <w:category>
          <w:name w:val="כללי"/>
          <w:gallery w:val="placeholder"/>
        </w:category>
        <w:types>
          <w:type w:val="bbPlcHdr"/>
        </w:types>
        <w:behaviors>
          <w:behavior w:val="content"/>
        </w:behaviors>
        <w:guid w:val="{B1CFAC65-0E85-429A-A5B4-53DF1F4AFDB1}"/>
      </w:docPartPr>
      <w:docPartBody>
        <w:p w:rsidR="0069470F" w:rsidRDefault="00A40747" w:rsidP="00A40747">
          <w:pPr>
            <w:pStyle w:val="13682CB4E0334265BAC5C002EFE7FE54"/>
          </w:pPr>
          <w:r>
            <w:rPr>
              <w:rFonts w:ascii="Arial" w:hAnsi="Arial"/>
              <w:b/>
              <w:bCs/>
              <w:sz w:val="26"/>
              <w:szCs w:val="26"/>
              <w:rtl/>
            </w:rPr>
            <w:t>שם צד ב' ללא שם של חסוי</w:t>
          </w:r>
        </w:p>
      </w:docPartBody>
    </w:docPart>
    <w:docPart>
      <w:docPartPr>
        <w:name w:val="8E84081310804170AF79EE10EBD22F93"/>
        <w:category>
          <w:name w:val="כללי"/>
          <w:gallery w:val="placeholder"/>
        </w:category>
        <w:types>
          <w:type w:val="bbPlcHdr"/>
        </w:types>
        <w:behaviors>
          <w:behavior w:val="content"/>
        </w:behaviors>
        <w:guid w:val="{BC7EAD16-B922-4840-93BF-2847D9E24B71}"/>
      </w:docPartPr>
      <w:docPartBody>
        <w:p w:rsidR="0069470F" w:rsidRDefault="00A40747" w:rsidP="00A40747">
          <w:pPr>
            <w:pStyle w:val="8E84081310804170AF79EE10EBD22F93"/>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69470F"/>
    <w:rsid w:val="00793995"/>
    <w:rsid w:val="007C6F98"/>
    <w:rsid w:val="007E254A"/>
    <w:rsid w:val="008B4366"/>
    <w:rsid w:val="009133C7"/>
    <w:rsid w:val="009178E4"/>
    <w:rsid w:val="00961B27"/>
    <w:rsid w:val="009A36E7"/>
    <w:rsid w:val="00A40747"/>
    <w:rsid w:val="00A74356"/>
    <w:rsid w:val="00AA7CE3"/>
    <w:rsid w:val="00B50DB2"/>
    <w:rsid w:val="00B72BC2"/>
    <w:rsid w:val="00B91FA3"/>
    <w:rsid w:val="00BD69D1"/>
    <w:rsid w:val="00BE6557"/>
    <w:rsid w:val="00C006FC"/>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F0D1B1B8CDB6405FA2CA1B7689CEC57E">
    <w:name w:val="F0D1B1B8CDB6405FA2CA1B7689CEC57E"/>
    <w:rsid w:val="00A40747"/>
    <w:pPr>
      <w:bidi/>
      <w:spacing w:after="160" w:line="259" w:lineRule="auto"/>
    </w:pPr>
  </w:style>
  <w:style w:type="paragraph" w:customStyle="1" w:styleId="13682CB4E0334265BAC5C002EFE7FE54">
    <w:name w:val="13682CB4E0334265BAC5C002EFE7FE54"/>
    <w:rsid w:val="00A40747"/>
    <w:pPr>
      <w:bidi/>
      <w:spacing w:after="160" w:line="259" w:lineRule="auto"/>
    </w:pPr>
  </w:style>
  <w:style w:type="paragraph" w:customStyle="1" w:styleId="8E84081310804170AF79EE10EBD22F93">
    <w:name w:val="8E84081310804170AF79EE10EBD22F93"/>
    <w:rsid w:val="00A4074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277434402</CasePartyID>
        <PartyTypeID>3</PartyTypeID>
        <ActivityStatusID>1</ActivityStatusID>
        <LegalEntityID>74409308</LegalEntityID>
        <CaseLegalEntityID>132252365</CaseLegalEntityID>
        <AssistantRoleID>101</AssistantRoleID>
        <AuthenticationTypeID>13</AuthenticationTypeID>
        <AuthenticationTypeName>משרדי ממשלה</AuthenticationTypeName>
        <LegalEntityNumber>570001686</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256705527</CasePartyID>
        <PartyTypeID>3</PartyTypeID>
        <ActivityStatusID>1</ActivityStatusID>
        <LegalEntityID>21034188</LegalEntityID>
        <CaseLegalEntityID>124669269</CaseLegalEntityID>
        <AssistantRoleID>14</AssistantRoleID>
        <AuthenticationTypeID>13</AuthenticationTypeID>
        <AuthenticationTypeName>משרדי ממשלה</AuthenticationTypeName>
        <LegalEntityNumber>570000779</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248441950</CasePartyID>
        <PartyTypeID>3</PartyTypeID>
        <ActivityStatusID>1</ActivityStatusID>
        <LegalEntityID>7551403</LegalEntityID>
        <CaseLegalEntityID>122120290</CaseLegalEntityID>
        <AssistantRoleID>13</AssistantRoleID>
        <AuthenticationTypeID>13</AuthenticationTypeID>
        <AuthenticationTypeName>משרדי ממשלה</AuthenticationTypeName>
        <LegalEntityNumber>513442041</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אביעד לנצ'נר</FullName>
        <FirstName>אביעד</FirstName>
        <LastName>לנצ'נר</LastName>
        <PartyPropertyName/>
        <AuthenticationTypeAndNumber>מ.ר. 72543</AuthenticationTypeAndNumber>
        <RepresentatedOrRepresentativesNames>רוניאל כהן</RepresentatedOrRepresentativesNames>
        <RepresentatedOrRepresentativesCount>1</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244748262</CasePartyID>
        <PartyTypeID>2</PartyTypeID>
        <ActivityStatusID>1</ActivityStatusID>
        <PartyAliasID>32</PartyAliasID>
        <PartyAliasName>בא כוח נאשמים</PartyAliasName>
        <LegalEntityID>77004134</LegalEntityID>
        <CaseLegalEntityID>120935110</CaseLegalEntityID>
        <AuthenticationTypeID>4</AuthenticationTypeID>
        <AuthenticationTypeName>מ.ר.</AuthenticationTypeName>
        <LegalEntityNumber>72543</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הנשיא 47 גבעת שמואל </FullAddress>
        <EmailAddress>adviad.lenchner@gmail.com</EmailAddress>
        <MotionID>0</MotionID>
        <CasePleaID>0</CasePleaID>
        <LinkedCaseID>0</LinkedCaseID>
        <PartyID>2</PartyID>
        <CasePartyCategoryID>2</CasePartyCategoryID>
        <LegalEntityAddressID>80942788</LegalEntityAddressID>
        <LegalEntityEmailAddressID>67971689</LegalEntityEmailAddressID>
        <PleaTypeID>8</PleaTypeID>
        <LawyerOfficeName>משרד עו"ד אביעד לנצ'נר</LawyerOfficeName>
        <LawyerOfficeID>77004135</LawyerOfficeID>
        <GroupPartyAlias/>
        <IsConverted>false</IsConverted>
        <LegalEntityNameID>85278677</LegalEntityNameID>
        <RepresentatedNamesOfAssistant/>
        <LegalEntityTypeID>4</LegalEntityTypeID>
        <IsVerdictExists>false</IsVerdictExists>
        <IsAsirAzir>false</IsAsirAzir>
        <MainAndSecSpec/>
        <IsPublicationProhibited>false</IsPublicationProhibited>
        <PublicationProhibitedFullName>אביעד לנצ'נר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244525591</CasePartyID>
        <PartyTypeID>1</PartyTypeID>
        <ActivityStatusID>1</ActivityStatusID>
        <PartyAliasID>11</PartyAliasID>
        <PartyAliasName>מאשימה</PartyAliasName>
        <OrdinalNumber>1</OrdinalNumber>
        <LegalEntityID>4</LegalEntityID>
        <CaseLegalEntityID>120851711</CaseLegalEntityID>
        <AuthenticationTypeID>41</AuthenticationTypeID>
        <AuthenticationTypeName>מדינת ישראל </AuthenticationTypeName>
        <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244525592</CasePartyID>
        <PartyTypeID>2</PartyTypeID>
        <ActivityStatusID>1</ActivityStatusID>
        <PartyAliasID>30</PartyAliasID>
        <PartyAliasName>בא כוח מאשימה</PartyAliasName>
        <OrdinalNumber>1</OrdinalNumber>
        <LegalEntityID>398656</LegalEntityID>
        <CaseLegalEntityID>120851712</CaseLegalEntityID>
        <AuthenticationTypeID>4</AuthenticationTypeID>
        <AuthenticationTypeName>מ.ר.</AuthenticationTypeName>
        <LegalEntityNumber>19202</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רוניאל כהן (אסור בפרסום)</FullName>
        <FirstName>רוניאל</FirstName>
        <LastName>כהן</LastName>
        <PartyPropertyID>16</PartyPropertyID>
        <PartyPropertyName/>
        <AuthenticationTypeAndNumber>ת"ז 211488184</AuthenticationTypeAndNumber>
        <RepresentatedOrRepresentativesNames>אביעד לנצ'נר</RepresentatedOrRepresentativesNames>
        <RepresentatedOrRepresentativesCount>1</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244525593</CasePartyID>
        <PartyTypeID>1</PartyTypeID>
        <ActivityStatusID>1</ActivityStatusID>
        <PartyAliasID>13</PartyAliasID>
        <PartyAliasName>נאשם</PartyAliasName>
        <OrdinalNumber>1</OrdinalNumber>
        <LegalEntityID>80645136</LegalEntityID>
        <CaseLegalEntityID>120851713</CaseLegalEntityID>
        <AuthenticationTypeID>1</AuthenticationTypeID>
        <AuthenticationTypeName>ת"ז</AuthenticationTypeName>
        <LegalEntityNumber>211488184</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השחף 9 יד בנימין </FullAddress>
        <MotionID>0</MotionID>
        <CasePleaID>0</CasePleaID>
        <BirthDate>2000-03-17T00:00:00+02:00</BirthDate>
        <FatherName>אוריאל</FatherName>
        <LinkedCaseID>0</LinkedCaseID>
        <PartyID>2</PartyID>
        <CasePartyCategoryID>2</CasePartyCategoryID>
        <LegalEntityAddressID>86844118</LegalEntityAddressID>
        <PleaTypeID>8</PleaTypeID>
        <GroupPartyAlias>נאשמים</GroupPartyAlias>
        <IsConverted>false</IsConverted>
        <LegalEntityRegisteredNameID>10007430</LegalEntityRegisteredNameID>
        <LegalEntityNameID>93524963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רוניאל כהן (אסור בפרסום)</PublicationProhibitedFullName>
      </CaseParties>
    </CasePartiesSelectionDS>
    <DecisionName>החלטה  שניתנה ע"י  עמי קובו</DecisionName>
    <CourtDisplayName>בית המשפט המחוזי מרכז-לוד</CourtDisplayName>
    <IsCaseJudgePanel>true</IsCaseJudgePanel>
    <DecisionSignatureDate>2024-09-16T10:56:06.9898568+03:00</DecisionSignatureDate>
    <OpenCaseDate>2022-08-09T10:12:00+03:00</OpenCaseDate>
    <ExternalCaseNumber>365735/2022</ExternalCaseNumber>
    <DecisionTypeID>1</DecisionTypeID>
    <DecisionSignatureUserName>עמי קובו</DecisionSignatureUserName>
    <DecisionSignatureDateHebrew>2024-09-16T10:56:06.9898568+03:00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כהן(אסור בפרסום)</CaseName>
    <DecisionNumberInCase>28</DecisionNumberInCase>
  </dt_Decision>
  <dt_DecisionCase>
    <DecisionID>0</DecisionID>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277434402</CasePartyID>
        <PartyTypeID>3</PartyTypeID>
        <ActivityStatusID>1</ActivityStatusID>
        <LegalEntityID>74409308</LegalEntityID>
        <CaseLegalEntityID>132252365</CaseLegalEntityID>
        <AssistantRoleID>101</AssistantRoleID>
        <AuthenticationTypeID>13</AuthenticationTypeID>
        <AuthenticationTypeName>משרדי ממשלה</AuthenticationTypeName>
        <LegalEntityNumber>570001686</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256705527</CasePartyID>
        <PartyTypeID>3</PartyTypeID>
        <ActivityStatusID>1</ActivityStatusID>
        <LegalEntityID>21034188</LegalEntityID>
        <CaseLegalEntityID>124669269</CaseLegalEntityID>
        <AssistantRoleID>14</AssistantRoleID>
        <AuthenticationTypeID>13</AuthenticationTypeID>
        <AuthenticationTypeName>משרדי ממשלה</AuthenticationTypeName>
        <LegalEntityNumber>570000779</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248441950</CasePartyID>
        <PartyTypeID>3</PartyTypeID>
        <ActivityStatusID>1</ActivityStatusID>
        <LegalEntityID>7551403</LegalEntityID>
        <CaseLegalEntityID>122120290</CaseLegalEntityID>
        <AssistantRoleID>13</AssistantRoleID>
        <AuthenticationTypeID>13</AuthenticationTypeID>
        <AuthenticationTypeName>משרדי ממשלה</AuthenticationTypeName>
        <LegalEntityNumber>513442041</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MainAndSecSpec/>
        <IsPublicationProhibited>false</IsPublicationProhibited>
        <PublicationProhibitedFullName>שב"ס היחידה לתאום ופיקוח אלקטרוני פקא"ל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אביעד לנצ'נר</FullName>
        <FirstName>אביעד</FirstName>
        <LastName>לנצ'נר</LastName>
        <PartyPropertyName/>
        <AuthenticationTypeAndNumber>מ.ר. 72543</AuthenticationTypeAndNumber>
        <RepresentatedOrRepresentativesNames>רוניאל כהן</RepresentatedOrRepresentativesNames>
        <RepresentatedOrRepresentativesCount>1</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244748262</CasePartyID>
        <PartyTypeID>2</PartyTypeID>
        <ActivityStatusID>1</ActivityStatusID>
        <PartyAliasID>32</PartyAliasID>
        <PartyAliasName>בא כוח נאשמים</PartyAliasName>
        <LegalEntityID>77004134</LegalEntityID>
        <CaseLegalEntityID>120935110</CaseLegalEntityID>
        <AuthenticationTypeID>4</AuthenticationTypeID>
        <AuthenticationTypeName>מ.ר.</AuthenticationTypeName>
        <LegalEntityNumber>72543</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הנשיא 47 גבעת שמואל </FullAddress>
        <EmailAddress>adviad.lenchner@gmail.com</EmailAddress>
        <MotionID>0</MotionID>
        <CasePleaID>0</CasePleaID>
        <LinkedCaseID>0</LinkedCaseID>
        <PartyID>2</PartyID>
        <CasePartyCategoryID>2</CasePartyCategoryID>
        <LegalEntityAddressID>80942788</LegalEntityAddressID>
        <LegalEntityEmailAddressID>67971689</LegalEntityEmailAddressID>
        <PleaTypeID>8</PleaTypeID>
        <LawyerOfficeName>משרד עו"ד אביעד לנצ'נר</LawyerOfficeName>
        <LawyerOfficeID>77004135</LawyerOfficeID>
        <GroupPartyAlias/>
        <IsConverted>false</IsConverted>
        <LegalEntityNameID>85278677</LegalEntityNameID>
        <RepresentatedNamesOfAssistant/>
        <LegalEntityTypeID>4</LegalEntityTypeID>
        <IsVerdictExists>false</IsVerdictExists>
        <IsAsirAzir>false</IsAsirAzir>
        <MainAndSecSpec/>
        <IsPublicationProhibited>false</IsPublicationProhibited>
        <PublicationProhibitedFullName>אביעד לנצ'נר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244525591</CasePartyID>
        <PartyTypeID>1</PartyTypeID>
        <ActivityStatusID>1</ActivityStatusID>
        <PartyAliasID>11</PartyAliasID>
        <PartyAliasName>מאשימה</PartyAliasName>
        <OrdinalNumber>1</OrdinalNumber>
        <LegalEntityID>4</LegalEntityID>
        <CaseLegalEntityID>120851711</CaseLegalEntityID>
        <AuthenticationTypeID>41</AuthenticationTypeID>
        <AuthenticationTypeName>מדינת ישראל </AuthenticationTypeName>
        <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244525592</CasePartyID>
        <PartyTypeID>2</PartyTypeID>
        <ActivityStatusID>1</ActivityStatusID>
        <PartyAliasID>30</PartyAliasID>
        <PartyAliasName>בא כוח מאשימה</PartyAliasName>
        <OrdinalNumber>1</OrdinalNumber>
        <LegalEntityID>398656</LegalEntityID>
        <CaseLegalEntityID>120851712</CaseLegalEntityID>
        <AuthenticationTypeID>4</AuthenticationTypeID>
        <AuthenticationTypeName>מ.ר.</AuthenticationTypeName>
        <LegalEntityNumber>19202</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רוניאל כהן (אסור בפרסום)</FullName>
        <FirstName>רוניאל</FirstName>
        <LastName>כהן</LastName>
        <PartyPropertyID>16</PartyPropertyID>
        <PartyPropertyName/>
        <AuthenticationTypeAndNumber>ת"ז 211488184</AuthenticationTypeAndNumber>
        <RepresentatedOrRepresentativesNames>אביעד לנצ'נר</RepresentatedOrRepresentativesNames>
        <RepresentatedOrRepresentativesCount>1</RepresentatedOrRepresentativesCount>
        <InvitedBy/>
        <CaseID>79508916</CaseID>
        <CaseJudicialPersonPresentationDS>
          <CaseJudicalPersonActive>
            <CaseID>79508916</CaseID>
            <JudicialPersonID>029737269@GOV.IL</JudicialPersonID>
            <JudicialPersonTypeID>1</JudicialPersonTypeID>
            <JudicialTypeID>3</JudicialTypeID>
            <IsChairman>true</IsChairman>
            <TreatmentStartDate>2022-08-15T10:38:26.537+03:00</TreatmentStartDate>
            <TreatmentFinishDate>9999-12-31T23:59:59.997+02:00</TreatmentFinishDate>
            <IdentificationCardNumber>029737269</IdentificationCardNumber>
            <DisplayName>עמי קובו</DisplayName>
            <JudicialTypeName>הרכב שופטים</JudicialTypeName>
            <CaseJudicialGroupNumber>506832</CaseJudicialGroupNumber>
            <FirstName>עמי</FirstName>
            <LastName>קובו</LastName>
            <JudicialPersonTitle>שופט</JudicialPersonTitle>
          </CaseJudicalPersonActive>
          <CaseJudicalPersonActive>
            <CaseID>79508916</CaseID>
            <JudicialPersonID>028615656@GOV.IL</JudicialPersonID>
            <JudicialPersonTypeID>1</JudicialPersonTypeID>
            <JudicialTypeID>3</JudicialTypeID>
            <IsChairman>false</IsChairman>
            <TreatmentStartDate>2022-08-15T10:38:26.537+03:00</TreatmentStartDate>
            <TreatmentFinishDate>9999-12-31T23:59:59.997+02:00</TreatmentFinishDate>
            <IdentificationCardNumber>028615656</IdentificationCardNumber>
            <DisplayName>מיכאל קרשן</DisplayName>
            <JudicialTypeName>הרכב שופטים</JudicialTypeName>
            <CaseJudicialGroupNumber>506832</CaseJudicialGroupNumber>
            <FirstName>מיכאל</FirstName>
            <LastName>קרשן</LastName>
            <JudicialPersonTitle>שופט</JudicialPersonTitle>
          </CaseJudicalPersonActive>
          <CaseJudicalPersonActive>
            <CaseID>79508916</CaseID>
            <JudicialPersonID>027781319@GOV.IL</JudicialPersonID>
            <JudicialPersonTypeID>1</JudicialPersonTypeID>
            <JudicialTypeID>3</JudicialTypeID>
            <IsChairman>false</IsChairman>
            <TreatmentStartDate>2022-08-15T10:38:26.537+03:00</TreatmentStartDate>
            <TreatmentFinishDate>9999-12-31T23:59:59.997+02:00</TreatmentFinishDate>
            <IdentificationCardNumber>027781319</IdentificationCardNumber>
            <DisplayName>מרב גרינברג</DisplayName>
            <JudicialTypeName>הרכב שופטים</JudicialTypeName>
            <CaseJudicialGroupNumber>506832</CaseJudicialGroupNumber>
            <FirstName>מרב</FirstName>
            <LastName>גרינברג</LastName>
            <JudicialPersonTitle>שופט</JudicialPersonTitle>
          </CaseJudicalPersonActive>
        </CaseJudicialPersonPresentationDS>
        <CasePartyID>244525593</CasePartyID>
        <PartyTypeID>1</PartyTypeID>
        <ActivityStatusID>1</ActivityStatusID>
        <PartyAliasID>13</PartyAliasID>
        <PartyAliasName>נאשם</PartyAliasName>
        <OrdinalNumber>1</OrdinalNumber>
        <LegalEntityID>80645136</LegalEntityID>
        <CaseLegalEntityID>120851713</CaseLegalEntityID>
        <AuthenticationTypeID>1</AuthenticationTypeID>
        <AuthenticationTypeName>ת"ז</AuthenticationTypeName>
        <LegalEntityNumber>211488184</LegalEntityNumber>
        <IsMainPartyType>true</IsMainPartyType>
        <CaseDisplayIdentifier>18971-08-22</CaseDisplayIdentifier>
        <CaseTypeID>10284</CaseTypeID>
        <CaseTypeName>תיק פלילי פשע חמור עדות קטין נפגע עבירה (תפח"ע)</CaseTypeName>
        <CaseName>מדינת ישראל נ' כהן(אסור בפרסום)</CaseName>
        <FullAddress>השחף 9 יד בנימין </FullAddress>
        <MotionID>0</MotionID>
        <CasePleaID>0</CasePleaID>
        <BirthDate>2000-03-17T00:00:00+02:00</BirthDate>
        <FatherName>אוריאל</FatherName>
        <LinkedCaseID>0</LinkedCaseID>
        <PartyID>2</PartyID>
        <CasePartyCategoryID>2</CasePartyCategoryID>
        <LegalEntityAddressID>86844118</LegalEntityAddressID>
        <PleaTypeID>8</PleaTypeID>
        <GroupPartyAlias>נאשמים</GroupPartyAlias>
        <IsConverted>false</IsConverted>
        <LegalEntityRegisteredNameID>10007430</LegalEntityRegisteredNameID>
        <LegalEntityNameID>93524963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רוניאל כהן (אסור בפרסום)</PublicationProhibitedFullName>
      </CaseParties>
    </CasePartiesSelectionDS>
    <CaseName>מדינת ישראל נ' כהן(אסור בפרסום)</CaseName>
    <CaseDisplayIdentifier>18971-08-22</CaseDisplayIdentifier>
    <CaseTypeShortName>תפח"ע</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Phone>050-6388480</Phone>
    <PartyID>2</PartyID>
    <PartyTypeID>2</PartyTypeID>
    <DecisionID>0</DecisionID>
    <StreetName>הנשיא 47</StreetName>
    <ZipCode>5400408</ZipCode>
    <CityName>גבעת שמואל</CityName>
    <FullName>אביעד לנצ'נר</FullName>
    <Email>adviad.lenchner@gmail.com</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השחף 9</StreetName>
    <CityName>יד בנימין</CityName>
    <FullName>רוניאל כהן</FullName>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PreviousMeetingDate>2024-09-12T14:00:00+03:00</PreviousMeetingDate>
    <PreviousSittingTypeID>15</PreviousSittingTypeID>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ED8CD-5AA7-4035-A9A9-495F1119AC69}">
  <ds:schemaRefs/>
</ds:datastoreItem>
</file>

<file path=customXml/itemProps2.xml><?xml version="1.0" encoding="utf-8"?>
<ds:datastoreItem xmlns:ds="http://schemas.openxmlformats.org/officeDocument/2006/customXml" ds:itemID="{8697A0AF-7E30-4F82-964A-C17C59F63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4237</Words>
  <Characters>21188</Characters>
  <Application>Microsoft Office Word</Application>
  <DocSecurity>0</DocSecurity>
  <Lines>176</Lines>
  <Paragraphs>50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2024-09-16T10:47:00Z</dcterms:created>
  <dcterms:modified xsi:type="dcterms:W3CDTF">2024-09-16T10:47:00Z</dcterms:modified>
</cp:coreProperties>
</file>